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A8" w:rsidRPr="004517A8" w:rsidRDefault="004517A8" w:rsidP="004517A8">
      <w:pPr>
        <w:rPr>
          <w:rFonts w:ascii="Arial" w:hAnsi="Arial" w:cs="Arial"/>
          <w:b/>
          <w:sz w:val="24"/>
          <w:szCs w:val="24"/>
          <w:u w:val="single"/>
        </w:rPr>
      </w:pPr>
      <w:r w:rsidRPr="004517A8">
        <w:rPr>
          <w:rFonts w:ascii="Arial" w:hAnsi="Arial" w:cs="Arial"/>
          <w:b/>
          <w:sz w:val="24"/>
          <w:szCs w:val="24"/>
          <w:u w:val="single"/>
        </w:rPr>
        <w:t>Partner Opportunities with Lincoln College</w:t>
      </w:r>
    </w:p>
    <w:p w:rsidR="004517A8" w:rsidRPr="004517A8" w:rsidRDefault="004517A8" w:rsidP="004517A8">
      <w:pPr>
        <w:rPr>
          <w:rFonts w:ascii="Arial" w:hAnsi="Arial" w:cs="Arial"/>
          <w:color w:val="555555"/>
          <w:sz w:val="24"/>
          <w:szCs w:val="24"/>
        </w:rPr>
      </w:pPr>
      <w:r w:rsidRPr="004517A8">
        <w:rPr>
          <w:rFonts w:ascii="Arial" w:hAnsi="Arial" w:cs="Arial"/>
          <w:color w:val="555555"/>
          <w:sz w:val="24"/>
          <w:szCs w:val="24"/>
        </w:rPr>
        <w:t xml:space="preserve">Lincoln College </w:t>
      </w:r>
      <w:r w:rsidRPr="004517A8">
        <w:rPr>
          <w:rFonts w:ascii="Arial" w:hAnsi="Arial" w:cs="Arial"/>
          <w:color w:val="555555"/>
          <w:sz w:val="24"/>
          <w:szCs w:val="24"/>
        </w:rPr>
        <w:t xml:space="preserve">is always interested in working with good quality service providers. Our </w:t>
      </w:r>
      <w:r>
        <w:rPr>
          <w:rFonts w:ascii="Arial" w:hAnsi="Arial" w:cs="Arial"/>
          <w:color w:val="555555"/>
          <w:sz w:val="24"/>
          <w:szCs w:val="24"/>
        </w:rPr>
        <w:t xml:space="preserve">most </w:t>
      </w:r>
      <w:proofErr w:type="spellStart"/>
      <w:proofErr w:type="gramStart"/>
      <w:r>
        <w:rPr>
          <w:rFonts w:ascii="Arial" w:hAnsi="Arial" w:cs="Arial"/>
          <w:color w:val="555555"/>
          <w:sz w:val="24"/>
          <w:szCs w:val="24"/>
        </w:rPr>
        <w:t>recnt</w:t>
      </w:r>
      <w:proofErr w:type="spellEnd"/>
      <w:r>
        <w:rPr>
          <w:rFonts w:ascii="Arial" w:hAnsi="Arial" w:cs="Arial"/>
          <w:color w:val="555555"/>
          <w:sz w:val="24"/>
          <w:szCs w:val="24"/>
        </w:rPr>
        <w:t xml:space="preserve"> </w:t>
      </w:r>
      <w:r w:rsidRPr="004517A8">
        <w:rPr>
          <w:rFonts w:ascii="Arial" w:hAnsi="Arial" w:cs="Arial"/>
          <w:color w:val="555555"/>
          <w:sz w:val="24"/>
          <w:szCs w:val="24"/>
        </w:rPr>
        <w:t xml:space="preserve"> contract</w:t>
      </w:r>
      <w:proofErr w:type="gramEnd"/>
      <w:r w:rsidRPr="004517A8">
        <w:rPr>
          <w:rFonts w:ascii="Arial" w:hAnsi="Arial" w:cs="Arial"/>
          <w:color w:val="555555"/>
          <w:sz w:val="24"/>
          <w:szCs w:val="24"/>
        </w:rPr>
        <w:t xml:space="preserve"> opportunities are listed below.</w:t>
      </w:r>
      <w:r w:rsidRPr="004517A8">
        <w:rPr>
          <w:rFonts w:ascii="Arial" w:hAnsi="Arial" w:cs="Arial"/>
          <w:color w:val="555555"/>
          <w:sz w:val="24"/>
          <w:szCs w:val="24"/>
        </w:rPr>
        <w:t xml:space="preserve">  Please contact Head of Training and Skills Commercial and Community within the Employer Provision department for further details or </w:t>
      </w:r>
      <w:proofErr w:type="spellStart"/>
      <w:r w:rsidRPr="004517A8">
        <w:rPr>
          <w:rFonts w:ascii="Arial" w:hAnsi="Arial" w:cs="Arial"/>
          <w:color w:val="555555"/>
          <w:sz w:val="24"/>
          <w:szCs w:val="24"/>
        </w:rPr>
        <w:t>vist</w:t>
      </w:r>
      <w:proofErr w:type="spellEnd"/>
      <w:r w:rsidRPr="004517A8">
        <w:rPr>
          <w:rFonts w:ascii="Arial" w:hAnsi="Arial" w:cs="Arial"/>
          <w:color w:val="555555"/>
          <w:sz w:val="24"/>
          <w:szCs w:val="24"/>
        </w:rPr>
        <w:t xml:space="preserve"> the SFA Bravo solutions website.</w:t>
      </w:r>
    </w:p>
    <w:p w:rsidR="004517A8" w:rsidRPr="004517A8" w:rsidRDefault="004517A8" w:rsidP="004517A8">
      <w:pPr>
        <w:jc w:val="center"/>
        <w:rPr>
          <w:rFonts w:ascii="Arial" w:hAnsi="Arial" w:cs="Arial"/>
          <w:b/>
          <w:sz w:val="24"/>
          <w:szCs w:val="24"/>
        </w:rPr>
      </w:pPr>
      <w:r w:rsidRPr="004517A8">
        <w:rPr>
          <w:rFonts w:ascii="Arial" w:hAnsi="Arial" w:cs="Arial"/>
          <w:b/>
          <w:sz w:val="24"/>
          <w:szCs w:val="24"/>
        </w:rPr>
        <w:t>ESF IP1.1 Greater Lincolnshire SSU</w:t>
      </w:r>
      <w:r w:rsidRPr="004517A8">
        <w:rPr>
          <w:rFonts w:ascii="Arial" w:hAnsi="Arial" w:cs="Arial"/>
          <w:b/>
          <w:sz w:val="24"/>
          <w:szCs w:val="24"/>
        </w:rPr>
        <w:t xml:space="preserve"> </w:t>
      </w:r>
    </w:p>
    <w:p w:rsidR="004517A8" w:rsidRPr="004517A8" w:rsidRDefault="004517A8" w:rsidP="004517A8">
      <w:pPr>
        <w:jc w:val="center"/>
        <w:rPr>
          <w:rFonts w:ascii="Arial" w:hAnsi="Arial" w:cs="Arial"/>
          <w:b/>
          <w:sz w:val="24"/>
          <w:szCs w:val="24"/>
        </w:rPr>
      </w:pPr>
      <w:r w:rsidRPr="004517A8">
        <w:rPr>
          <w:rFonts w:ascii="Arial" w:hAnsi="Arial" w:cs="Arial"/>
          <w:b/>
          <w:sz w:val="24"/>
          <w:szCs w:val="24"/>
        </w:rPr>
        <w:t>Moving Back Into Employment: Skills Support to the Unemployed ITT 30162</w:t>
      </w:r>
    </w:p>
    <w:p w:rsidR="004517A8" w:rsidRPr="004517A8" w:rsidRDefault="004517A8" w:rsidP="004517A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98"/>
        <w:gridCol w:w="6715"/>
        <w:gridCol w:w="1272"/>
      </w:tblGrid>
      <w:tr w:rsidR="006F7FD4" w:rsidRPr="004517A8" w:rsidTr="008C4A39">
        <w:tc>
          <w:tcPr>
            <w:tcW w:w="2263" w:type="dxa"/>
            <w:shd w:val="clear" w:color="auto" w:fill="E7E6E6" w:themeFill="background2"/>
          </w:tcPr>
          <w:p w:rsidR="006F7FD4" w:rsidRPr="004517A8" w:rsidRDefault="004517A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517A8">
              <w:rPr>
                <w:rFonts w:ascii="Arial" w:hAnsi="Arial" w:cs="Arial"/>
                <w:b/>
                <w:sz w:val="24"/>
                <w:szCs w:val="24"/>
                <w:u w:val="single"/>
              </w:rPr>
              <w:t>Q</w:t>
            </w:r>
            <w:r w:rsidR="006F7FD4" w:rsidRPr="004517A8">
              <w:rPr>
                <w:rFonts w:ascii="Arial" w:hAnsi="Arial" w:cs="Arial"/>
                <w:b/>
                <w:sz w:val="24"/>
                <w:szCs w:val="24"/>
                <w:u w:val="single"/>
              </w:rPr>
              <w:t>uestion</w:t>
            </w:r>
          </w:p>
        </w:tc>
        <w:tc>
          <w:tcPr>
            <w:tcW w:w="6946" w:type="dxa"/>
          </w:tcPr>
          <w:p w:rsidR="006F7FD4" w:rsidRPr="004517A8" w:rsidRDefault="006F7FD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517A8">
              <w:rPr>
                <w:rFonts w:ascii="Arial" w:hAnsi="Arial" w:cs="Arial"/>
                <w:b/>
                <w:sz w:val="24"/>
                <w:szCs w:val="24"/>
                <w:u w:val="single"/>
              </w:rPr>
              <w:t>Response</w:t>
            </w:r>
          </w:p>
        </w:tc>
        <w:tc>
          <w:tcPr>
            <w:tcW w:w="1276" w:type="dxa"/>
          </w:tcPr>
          <w:p w:rsidR="006F7FD4" w:rsidRPr="004517A8" w:rsidRDefault="00913F6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517A8">
              <w:rPr>
                <w:rFonts w:ascii="Arial" w:hAnsi="Arial" w:cs="Arial"/>
                <w:b/>
                <w:sz w:val="24"/>
                <w:szCs w:val="24"/>
                <w:u w:val="single"/>
              </w:rPr>
              <w:t>Relevant Section of ITT 30162</w:t>
            </w:r>
          </w:p>
        </w:tc>
      </w:tr>
      <w:tr w:rsidR="00687CA9" w:rsidRPr="004517A8" w:rsidTr="008C4A39">
        <w:tc>
          <w:tcPr>
            <w:tcW w:w="2263" w:type="dxa"/>
            <w:shd w:val="clear" w:color="auto" w:fill="E7E6E6" w:themeFill="background2"/>
          </w:tcPr>
          <w:p w:rsidR="00687CA9" w:rsidRPr="004517A8" w:rsidRDefault="00687CA9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When is the Call deadline?</w:t>
            </w:r>
          </w:p>
        </w:tc>
        <w:tc>
          <w:tcPr>
            <w:tcW w:w="6946" w:type="dxa"/>
          </w:tcPr>
          <w:p w:rsidR="00687CA9" w:rsidRPr="004517A8" w:rsidRDefault="00913F6A" w:rsidP="00DD2FE6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5pm on Tues</w:t>
            </w:r>
            <w:r w:rsidR="00416966" w:rsidRPr="004517A8">
              <w:rPr>
                <w:rFonts w:ascii="Arial" w:hAnsi="Arial" w:cs="Arial"/>
                <w:sz w:val="24"/>
                <w:szCs w:val="24"/>
              </w:rPr>
              <w:t xml:space="preserve">day, </w:t>
            </w:r>
            <w:r w:rsidRPr="004517A8">
              <w:rPr>
                <w:rFonts w:ascii="Arial" w:hAnsi="Arial" w:cs="Arial"/>
                <w:sz w:val="24"/>
                <w:szCs w:val="24"/>
              </w:rPr>
              <w:t>16</w:t>
            </w:r>
            <w:r w:rsidR="00DD2FE6" w:rsidRPr="004517A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D2FE6" w:rsidRPr="00451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2954" w:rsidRPr="004517A8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1276" w:type="dxa"/>
          </w:tcPr>
          <w:p w:rsidR="00687CA9" w:rsidRPr="004517A8" w:rsidRDefault="00603BEA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SFA Bravo Solut</w:t>
            </w:r>
            <w:r w:rsidR="007F5AD9" w:rsidRPr="004517A8">
              <w:rPr>
                <w:rFonts w:ascii="Arial" w:hAnsi="Arial" w:cs="Arial"/>
                <w:sz w:val="24"/>
                <w:szCs w:val="24"/>
              </w:rPr>
              <w:t>ions</w:t>
            </w:r>
          </w:p>
        </w:tc>
      </w:tr>
      <w:tr w:rsidR="006F7FD4" w:rsidRPr="004517A8" w:rsidTr="008C4A39">
        <w:tc>
          <w:tcPr>
            <w:tcW w:w="2263" w:type="dxa"/>
            <w:shd w:val="clear" w:color="auto" w:fill="E7E6E6" w:themeFill="background2"/>
          </w:tcPr>
          <w:p w:rsidR="006F7FD4" w:rsidRPr="004517A8" w:rsidRDefault="00687CA9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Which geographical locations can the activity take place in?</w:t>
            </w:r>
          </w:p>
        </w:tc>
        <w:tc>
          <w:tcPr>
            <w:tcW w:w="6946" w:type="dxa"/>
          </w:tcPr>
          <w:p w:rsidR="00015910" w:rsidRPr="004517A8" w:rsidRDefault="00C55C54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Within the GLLEP area (transitional)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F7FD4" w:rsidRPr="004517A8" w:rsidRDefault="00416966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P</w:t>
            </w:r>
            <w:r w:rsidR="004F261B" w:rsidRPr="004517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F7FD4" w:rsidRPr="004517A8" w:rsidTr="008C4A39">
        <w:tc>
          <w:tcPr>
            <w:tcW w:w="2263" w:type="dxa"/>
            <w:shd w:val="clear" w:color="auto" w:fill="E7E6E6" w:themeFill="background2"/>
          </w:tcPr>
          <w:p w:rsidR="006F7FD4" w:rsidRPr="004517A8" w:rsidRDefault="00CA507F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Are there any priority sectors? If so, what are they?</w:t>
            </w:r>
          </w:p>
        </w:tc>
        <w:tc>
          <w:tcPr>
            <w:tcW w:w="6946" w:type="dxa"/>
          </w:tcPr>
          <w:p w:rsidR="0065367A" w:rsidRPr="004517A8" w:rsidRDefault="004F261B" w:rsidP="004F261B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 xml:space="preserve">Areas of economic strength and growth in Greater Lincolnshire are the food industry, agriculture, manufacturing (particularly engineering), the low carbon sector (including off-shore wind), ports, logistics, the visitor economy and health and care. Other important sectors and skills </w:t>
            </w:r>
            <w:proofErr w:type="gramStart"/>
            <w:r w:rsidRPr="004517A8">
              <w:rPr>
                <w:rFonts w:ascii="Arial" w:hAnsi="Arial" w:cs="Arial"/>
                <w:sz w:val="24"/>
                <w:szCs w:val="24"/>
              </w:rPr>
              <w:t>include  construction</w:t>
            </w:r>
            <w:proofErr w:type="gramEnd"/>
            <w:r w:rsidRPr="004517A8">
              <w:rPr>
                <w:rFonts w:ascii="Arial" w:hAnsi="Arial" w:cs="Arial"/>
                <w:sz w:val="24"/>
                <w:szCs w:val="24"/>
              </w:rPr>
              <w:t xml:space="preserve">, IT/digital, </w:t>
            </w:r>
            <w:r w:rsidR="00577079" w:rsidRPr="004517A8">
              <w:rPr>
                <w:rFonts w:ascii="Arial" w:hAnsi="Arial" w:cs="Arial"/>
                <w:sz w:val="24"/>
                <w:szCs w:val="24"/>
              </w:rPr>
              <w:t xml:space="preserve">HR and accountancy. </w:t>
            </w:r>
          </w:p>
          <w:p w:rsidR="004F261B" w:rsidRPr="004517A8" w:rsidRDefault="004F261B" w:rsidP="004F26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C54" w:rsidRPr="004517A8" w:rsidRDefault="00C55C54" w:rsidP="00C55C54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Employers also report a gap in ‘employability’ skills including:</w:t>
            </w:r>
            <w:r w:rsidR="0065367A" w:rsidRPr="004517A8">
              <w:rPr>
                <w:rFonts w:ascii="Arial" w:hAnsi="Arial" w:cs="Arial"/>
                <w:sz w:val="24"/>
                <w:szCs w:val="24"/>
              </w:rPr>
              <w:t xml:space="preserve"> written skills; </w:t>
            </w:r>
            <w:proofErr w:type="spellStart"/>
            <w:r w:rsidR="0065367A" w:rsidRPr="004517A8">
              <w:rPr>
                <w:rFonts w:ascii="Arial" w:hAnsi="Arial" w:cs="Arial"/>
                <w:sz w:val="24"/>
                <w:szCs w:val="24"/>
              </w:rPr>
              <w:t>teamworking</w:t>
            </w:r>
            <w:proofErr w:type="spellEnd"/>
            <w:r w:rsidR="0065367A" w:rsidRPr="004517A8">
              <w:rPr>
                <w:rFonts w:ascii="Arial" w:hAnsi="Arial" w:cs="Arial"/>
                <w:sz w:val="24"/>
                <w:szCs w:val="24"/>
              </w:rPr>
              <w:t xml:space="preserve">; customer handling; oral communication skills; problem solving; basic computer literacy and advanced IT skills. </w:t>
            </w:r>
          </w:p>
          <w:p w:rsidR="0065367A" w:rsidRPr="004517A8" w:rsidRDefault="0065367A" w:rsidP="0065367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8E" w:rsidRPr="004517A8" w:rsidRDefault="00416966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P</w:t>
            </w:r>
            <w:r w:rsidR="00C55C54" w:rsidRPr="004517A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8338E" w:rsidRPr="004517A8" w:rsidRDefault="0048338E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38E" w:rsidRPr="004517A8" w:rsidRDefault="0048338E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38E" w:rsidRPr="004517A8" w:rsidRDefault="00483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D4" w:rsidRPr="004517A8" w:rsidTr="008C4A39">
        <w:tc>
          <w:tcPr>
            <w:tcW w:w="2263" w:type="dxa"/>
            <w:shd w:val="clear" w:color="auto" w:fill="E7E6E6" w:themeFill="background2"/>
          </w:tcPr>
          <w:p w:rsidR="006F7FD4" w:rsidRPr="004517A8" w:rsidRDefault="006F7FD4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Is the call for capital, revenue or both?</w:t>
            </w:r>
          </w:p>
        </w:tc>
        <w:tc>
          <w:tcPr>
            <w:tcW w:w="6946" w:type="dxa"/>
          </w:tcPr>
          <w:p w:rsidR="006F7FD4" w:rsidRPr="004517A8" w:rsidRDefault="00D1382D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Revenue</w:t>
            </w:r>
          </w:p>
        </w:tc>
        <w:tc>
          <w:tcPr>
            <w:tcW w:w="1276" w:type="dxa"/>
          </w:tcPr>
          <w:p w:rsidR="006F7FD4" w:rsidRPr="004517A8" w:rsidRDefault="006F7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D4" w:rsidRPr="004517A8" w:rsidTr="008C4A39">
        <w:tc>
          <w:tcPr>
            <w:tcW w:w="2263" w:type="dxa"/>
            <w:shd w:val="clear" w:color="auto" w:fill="E7E6E6" w:themeFill="background2"/>
          </w:tcPr>
          <w:p w:rsidR="006F7FD4" w:rsidRPr="004517A8" w:rsidRDefault="006F7FD4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Is there a minimum and/or maximum value that the application needs to be?</w:t>
            </w:r>
          </w:p>
        </w:tc>
        <w:tc>
          <w:tcPr>
            <w:tcW w:w="6946" w:type="dxa"/>
          </w:tcPr>
          <w:p w:rsidR="002962A4" w:rsidRPr="004517A8" w:rsidRDefault="00015910" w:rsidP="004F261B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£</w:t>
            </w:r>
            <w:r w:rsidR="004F261B" w:rsidRPr="004517A8">
              <w:rPr>
                <w:rFonts w:ascii="Arial" w:hAnsi="Arial" w:cs="Arial"/>
                <w:sz w:val="24"/>
                <w:szCs w:val="24"/>
              </w:rPr>
              <w:t>2,260</w:t>
            </w:r>
            <w:r w:rsidR="00C55C54" w:rsidRPr="004517A8">
              <w:rPr>
                <w:rFonts w:ascii="Arial" w:hAnsi="Arial" w:cs="Arial"/>
                <w:sz w:val="24"/>
                <w:szCs w:val="24"/>
              </w:rPr>
              <w:t>,000</w:t>
            </w:r>
            <w:r w:rsidR="002962A4" w:rsidRPr="004517A8">
              <w:rPr>
                <w:rFonts w:ascii="Arial" w:hAnsi="Arial" w:cs="Arial"/>
                <w:sz w:val="24"/>
                <w:szCs w:val="24"/>
              </w:rPr>
              <w:t xml:space="preserve"> for 1332 interventions with 98.7% progression into: </w:t>
            </w:r>
          </w:p>
          <w:p w:rsidR="002962A4" w:rsidRPr="004517A8" w:rsidRDefault="002962A4" w:rsidP="002962A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employment (445)</w:t>
            </w:r>
          </w:p>
          <w:p w:rsidR="002962A4" w:rsidRPr="004517A8" w:rsidRDefault="002962A4" w:rsidP="002962A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 xml:space="preserve">education (370) </w:t>
            </w:r>
          </w:p>
          <w:p w:rsidR="002962A4" w:rsidRPr="004517A8" w:rsidRDefault="002962A4" w:rsidP="002962A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apprenticeship (500)</w:t>
            </w:r>
          </w:p>
        </w:tc>
        <w:tc>
          <w:tcPr>
            <w:tcW w:w="1276" w:type="dxa"/>
          </w:tcPr>
          <w:p w:rsidR="006F7FD4" w:rsidRPr="004517A8" w:rsidRDefault="00C82954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P</w:t>
            </w:r>
            <w:r w:rsidR="004F261B" w:rsidRPr="004517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F7FD4" w:rsidRPr="004517A8" w:rsidTr="008C4A39">
        <w:tc>
          <w:tcPr>
            <w:tcW w:w="2263" w:type="dxa"/>
            <w:shd w:val="clear" w:color="auto" w:fill="E7E6E6" w:themeFill="background2"/>
          </w:tcPr>
          <w:p w:rsidR="006F7FD4" w:rsidRPr="004517A8" w:rsidRDefault="006F7FD4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Do projects have to be completed by a certain time?</w:t>
            </w:r>
          </w:p>
        </w:tc>
        <w:tc>
          <w:tcPr>
            <w:tcW w:w="6946" w:type="dxa"/>
          </w:tcPr>
          <w:p w:rsidR="007A35B2" w:rsidRPr="004517A8" w:rsidRDefault="00880D29" w:rsidP="00C82954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 xml:space="preserve">September 2016 – March 2018 </w:t>
            </w:r>
          </w:p>
        </w:tc>
        <w:tc>
          <w:tcPr>
            <w:tcW w:w="1276" w:type="dxa"/>
          </w:tcPr>
          <w:p w:rsidR="007A35B2" w:rsidRPr="004517A8" w:rsidRDefault="007F0236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P</w:t>
            </w:r>
            <w:r w:rsidR="004F261B" w:rsidRPr="004517A8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7A35B2" w:rsidRPr="004517A8" w:rsidRDefault="007A35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A35B2" w:rsidRPr="004517A8" w:rsidRDefault="007A3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D4" w:rsidRPr="004517A8" w:rsidTr="008C4A39">
        <w:tc>
          <w:tcPr>
            <w:tcW w:w="2263" w:type="dxa"/>
            <w:shd w:val="clear" w:color="auto" w:fill="E7E6E6" w:themeFill="background2"/>
          </w:tcPr>
          <w:p w:rsidR="006F7FD4" w:rsidRPr="004517A8" w:rsidRDefault="007F5AD9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What are the main types of activities that will be considered for funding?</w:t>
            </w:r>
          </w:p>
        </w:tc>
        <w:tc>
          <w:tcPr>
            <w:tcW w:w="6946" w:type="dxa"/>
          </w:tcPr>
          <w:p w:rsidR="00003DEC" w:rsidRPr="004517A8" w:rsidRDefault="00003DEC" w:rsidP="00DC5A71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E04" w:rsidRPr="004517A8">
              <w:rPr>
                <w:rFonts w:ascii="Arial" w:hAnsi="Arial" w:cs="Arial"/>
                <w:sz w:val="24"/>
                <w:szCs w:val="24"/>
              </w:rPr>
              <w:t xml:space="preserve">The aim of the service is to provide bespoke </w:t>
            </w:r>
            <w:r w:rsidR="00C2637E" w:rsidRPr="004517A8">
              <w:rPr>
                <w:rFonts w:ascii="Arial" w:hAnsi="Arial" w:cs="Arial"/>
                <w:sz w:val="24"/>
                <w:szCs w:val="24"/>
              </w:rPr>
              <w:t>support and training for the unemployed and those economically inactive and seeking to return to the labour market but facing skills related barriers. Service includes:</w:t>
            </w:r>
          </w:p>
          <w:p w:rsidR="00C2637E" w:rsidRPr="004517A8" w:rsidRDefault="00C2637E" w:rsidP="00C2637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diagnostic assessment and ILP</w:t>
            </w:r>
          </w:p>
          <w:p w:rsidR="00C2637E" w:rsidRPr="004517A8" w:rsidRDefault="00C2637E" w:rsidP="00C2637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IAG</w:t>
            </w:r>
          </w:p>
          <w:p w:rsidR="00C2637E" w:rsidRPr="004517A8" w:rsidRDefault="00C2637E" w:rsidP="00C2637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Individual mentor/key worker support for each participant up to 3rd month of employment</w:t>
            </w:r>
          </w:p>
          <w:p w:rsidR="00C2637E" w:rsidRPr="004517A8" w:rsidRDefault="00C2637E" w:rsidP="00C2637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 xml:space="preserve">Advice on job search, CV writing, interview skills </w:t>
            </w:r>
          </w:p>
          <w:p w:rsidR="00C2637E" w:rsidRPr="004517A8" w:rsidRDefault="00C2637E" w:rsidP="00C2637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lastRenderedPageBreak/>
              <w:t>Assistance with registering, searching and applications for apprenticeships</w:t>
            </w:r>
          </w:p>
          <w:p w:rsidR="00C2637E" w:rsidRPr="004517A8" w:rsidRDefault="00C2637E" w:rsidP="00C2637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 xml:space="preserve">Develop innovative approaches to pre-employment training, including group working, coaching and mentoring, confidence building </w:t>
            </w:r>
            <w:proofErr w:type="spellStart"/>
            <w:r w:rsidRPr="004517A8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  <w:p w:rsidR="00C2637E" w:rsidRPr="004517A8" w:rsidRDefault="00C2637E" w:rsidP="00C2637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Support with travel and childcare costs, PPE equipment and training license costs (</w:t>
            </w:r>
            <w:proofErr w:type="spellStart"/>
            <w:r w:rsidRPr="004517A8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4517A8">
              <w:rPr>
                <w:rFonts w:ascii="Arial" w:hAnsi="Arial" w:cs="Arial"/>
                <w:sz w:val="24"/>
                <w:szCs w:val="24"/>
              </w:rPr>
              <w:t xml:space="preserve"> CSCS Card)</w:t>
            </w:r>
          </w:p>
          <w:p w:rsidR="00C2637E" w:rsidRPr="004517A8" w:rsidRDefault="00C2637E" w:rsidP="00C2637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Regular progress reviews and exit interviews</w:t>
            </w:r>
          </w:p>
          <w:p w:rsidR="00C2637E" w:rsidRPr="004517A8" w:rsidRDefault="00C2637E" w:rsidP="00C2637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Mentoring support for empl</w:t>
            </w:r>
            <w:r w:rsidR="00D46DA7" w:rsidRPr="004517A8">
              <w:rPr>
                <w:rFonts w:ascii="Arial" w:hAnsi="Arial" w:cs="Arial"/>
                <w:sz w:val="24"/>
                <w:szCs w:val="24"/>
              </w:rPr>
              <w:t>oyers to support new employees</w:t>
            </w:r>
          </w:p>
          <w:p w:rsidR="00D46DA7" w:rsidRPr="004517A8" w:rsidRDefault="00D46DA7" w:rsidP="00D4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DA7" w:rsidRPr="004517A8" w:rsidRDefault="00D46DA7" w:rsidP="00D46DA7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The target audience for services include: JSA and ESA claimants; mild/moderate mental health condition (</w:t>
            </w:r>
            <w:proofErr w:type="spellStart"/>
            <w:r w:rsidRPr="004517A8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Pr="004517A8">
              <w:rPr>
                <w:rFonts w:ascii="Arial" w:hAnsi="Arial" w:cs="Arial"/>
                <w:sz w:val="24"/>
                <w:szCs w:val="24"/>
              </w:rPr>
              <w:t xml:space="preserve"> drug/alcohol addiction); victims of domestic abuse; long-term benefits claimants; lone parents; caring responsibilities; ex service personnel; </w:t>
            </w:r>
            <w:proofErr w:type="spellStart"/>
            <w:r w:rsidRPr="004517A8">
              <w:rPr>
                <w:rFonts w:ascii="Arial" w:hAnsi="Arial" w:cs="Arial"/>
                <w:sz w:val="24"/>
                <w:szCs w:val="24"/>
              </w:rPr>
              <w:t>ex offenders</w:t>
            </w:r>
            <w:proofErr w:type="spellEnd"/>
            <w:r w:rsidRPr="004517A8">
              <w:rPr>
                <w:rFonts w:ascii="Arial" w:hAnsi="Arial" w:cs="Arial"/>
                <w:sz w:val="24"/>
                <w:szCs w:val="24"/>
              </w:rPr>
              <w:t xml:space="preserve">; over 50s; young unemployed 18-24 and returners to the labour market. </w:t>
            </w:r>
          </w:p>
        </w:tc>
        <w:tc>
          <w:tcPr>
            <w:tcW w:w="1276" w:type="dxa"/>
          </w:tcPr>
          <w:p w:rsidR="00A9705B" w:rsidRPr="004517A8" w:rsidRDefault="002C3FDC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="00C2637E" w:rsidRPr="004517A8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003DEC" w:rsidRPr="004517A8" w:rsidRDefault="00003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DEC" w:rsidRPr="004517A8" w:rsidRDefault="00003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DEC" w:rsidRPr="004517A8" w:rsidRDefault="00003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DEC" w:rsidRPr="004517A8" w:rsidRDefault="00003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DEC" w:rsidRPr="004517A8" w:rsidRDefault="00003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DEC" w:rsidRPr="004517A8" w:rsidRDefault="00003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DEC" w:rsidRPr="004517A8" w:rsidRDefault="00003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DEC" w:rsidRPr="004517A8" w:rsidRDefault="00003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DEC" w:rsidRPr="004517A8" w:rsidRDefault="00003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DEC" w:rsidRPr="004517A8" w:rsidRDefault="00003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DEC" w:rsidRPr="004517A8" w:rsidRDefault="00003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DEC" w:rsidRPr="004517A8" w:rsidRDefault="00003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DEC" w:rsidRPr="004517A8" w:rsidRDefault="00003D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DEC" w:rsidRPr="004517A8" w:rsidRDefault="00003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FD4" w:rsidRPr="004517A8" w:rsidTr="008C4A39">
        <w:tc>
          <w:tcPr>
            <w:tcW w:w="2263" w:type="dxa"/>
            <w:shd w:val="clear" w:color="auto" w:fill="E7E6E6" w:themeFill="background2"/>
          </w:tcPr>
          <w:p w:rsidR="006F7FD4" w:rsidRPr="004517A8" w:rsidRDefault="007A35B2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lastRenderedPageBreak/>
              <w:t>Are there any organisations that activities must complement/align/not duplicate?</w:t>
            </w:r>
          </w:p>
        </w:tc>
        <w:tc>
          <w:tcPr>
            <w:tcW w:w="6946" w:type="dxa"/>
          </w:tcPr>
          <w:p w:rsidR="00330DC5" w:rsidRPr="004517A8" w:rsidRDefault="00330DC5" w:rsidP="00330DC5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 xml:space="preserve">All activities must complement and not duplicate with other provision, </w:t>
            </w:r>
            <w:proofErr w:type="spellStart"/>
            <w:r w:rsidRPr="004517A8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4517A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46DA7" w:rsidRPr="004517A8" w:rsidRDefault="00D46DA7" w:rsidP="00D46DA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DWP/Big Lottery</w:t>
            </w:r>
          </w:p>
          <w:p w:rsidR="00D46DA7" w:rsidRPr="004517A8" w:rsidRDefault="00D46DA7" w:rsidP="00D46DA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EFA</w:t>
            </w:r>
          </w:p>
          <w:p w:rsidR="00D46DA7" w:rsidRPr="004517A8" w:rsidRDefault="00D46DA7" w:rsidP="00D46DA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SFA</w:t>
            </w:r>
          </w:p>
          <w:p w:rsidR="00D46DA7" w:rsidRPr="004517A8" w:rsidRDefault="00D46DA7" w:rsidP="00D46DA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Local Authority</w:t>
            </w:r>
          </w:p>
          <w:p w:rsidR="00D46DA7" w:rsidRPr="004517A8" w:rsidRDefault="00D46DA7" w:rsidP="00D46DA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National Careers Service</w:t>
            </w:r>
          </w:p>
          <w:p w:rsidR="00D46DA7" w:rsidRPr="004517A8" w:rsidRDefault="00D46DA7" w:rsidP="00D46DA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New Careers Enterprise Company funded provision</w:t>
            </w:r>
          </w:p>
          <w:p w:rsidR="00047D15" w:rsidRPr="004517A8" w:rsidRDefault="00047D15" w:rsidP="00DC5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DA7" w:rsidRPr="004517A8" w:rsidRDefault="00D46DA7" w:rsidP="00D46DA7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 xml:space="preserve">A number of programmes will refer into the service, including other ESF projects and Talent Match. </w:t>
            </w:r>
          </w:p>
        </w:tc>
        <w:tc>
          <w:tcPr>
            <w:tcW w:w="1276" w:type="dxa"/>
          </w:tcPr>
          <w:p w:rsidR="005978A3" w:rsidRPr="004517A8" w:rsidRDefault="005978A3" w:rsidP="002C3FDC">
            <w:pPr>
              <w:rPr>
                <w:rFonts w:ascii="Arial" w:hAnsi="Arial" w:cs="Arial"/>
                <w:sz w:val="24"/>
                <w:szCs w:val="24"/>
              </w:rPr>
            </w:pPr>
          </w:p>
          <w:p w:rsidR="00A3136B" w:rsidRPr="004517A8" w:rsidRDefault="00A3136B" w:rsidP="002C3FDC">
            <w:pPr>
              <w:rPr>
                <w:rFonts w:ascii="Arial" w:hAnsi="Arial" w:cs="Arial"/>
                <w:sz w:val="24"/>
                <w:szCs w:val="24"/>
              </w:rPr>
            </w:pPr>
          </w:p>
          <w:p w:rsidR="00A3136B" w:rsidRPr="004517A8" w:rsidRDefault="00A3136B" w:rsidP="002C3FDC">
            <w:pPr>
              <w:rPr>
                <w:rFonts w:ascii="Arial" w:hAnsi="Arial" w:cs="Arial"/>
                <w:sz w:val="24"/>
                <w:szCs w:val="24"/>
              </w:rPr>
            </w:pPr>
          </w:p>
          <w:p w:rsidR="00A3136B" w:rsidRPr="004517A8" w:rsidRDefault="00A3136B" w:rsidP="002C3FDC">
            <w:pPr>
              <w:rPr>
                <w:rFonts w:ascii="Arial" w:hAnsi="Arial" w:cs="Arial"/>
                <w:sz w:val="24"/>
                <w:szCs w:val="24"/>
              </w:rPr>
            </w:pPr>
          </w:p>
          <w:p w:rsidR="00A3136B" w:rsidRPr="004517A8" w:rsidRDefault="00A3136B" w:rsidP="002C3FDC">
            <w:pPr>
              <w:rPr>
                <w:rFonts w:ascii="Arial" w:hAnsi="Arial" w:cs="Arial"/>
                <w:sz w:val="24"/>
                <w:szCs w:val="24"/>
              </w:rPr>
            </w:pPr>
          </w:p>
          <w:p w:rsidR="00A3136B" w:rsidRPr="004517A8" w:rsidRDefault="00A3136B" w:rsidP="002C3FDC">
            <w:pPr>
              <w:rPr>
                <w:rFonts w:ascii="Arial" w:hAnsi="Arial" w:cs="Arial"/>
                <w:sz w:val="24"/>
                <w:szCs w:val="24"/>
              </w:rPr>
            </w:pPr>
          </w:p>
          <w:p w:rsidR="00A3136B" w:rsidRPr="004517A8" w:rsidRDefault="00A3136B" w:rsidP="002C3FDC">
            <w:pPr>
              <w:rPr>
                <w:rFonts w:ascii="Arial" w:hAnsi="Arial" w:cs="Arial"/>
                <w:sz w:val="24"/>
                <w:szCs w:val="24"/>
              </w:rPr>
            </w:pPr>
          </w:p>
          <w:p w:rsidR="00A3136B" w:rsidRPr="004517A8" w:rsidRDefault="00A3136B" w:rsidP="002C3FDC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A71" w:rsidRPr="004517A8" w:rsidRDefault="00DC5A71" w:rsidP="002C3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36B" w:rsidRPr="004517A8" w:rsidTr="008C4A39">
        <w:tc>
          <w:tcPr>
            <w:tcW w:w="2263" w:type="dxa"/>
            <w:shd w:val="clear" w:color="auto" w:fill="E7E6E6" w:themeFill="background2"/>
          </w:tcPr>
          <w:p w:rsidR="00A3136B" w:rsidRPr="004517A8" w:rsidRDefault="00A3136B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Eligibility</w:t>
            </w:r>
          </w:p>
        </w:tc>
        <w:tc>
          <w:tcPr>
            <w:tcW w:w="6946" w:type="dxa"/>
          </w:tcPr>
          <w:p w:rsidR="00A3136B" w:rsidRPr="004517A8" w:rsidRDefault="00B76F35" w:rsidP="00A3136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18 years or over</w:t>
            </w:r>
          </w:p>
          <w:p w:rsidR="00A3136B" w:rsidRPr="004517A8" w:rsidRDefault="00B76F35" w:rsidP="00A3136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Unemployed, any length of unemployment</w:t>
            </w:r>
          </w:p>
          <w:p w:rsidR="00A3136B" w:rsidRPr="004517A8" w:rsidRDefault="00B76F35" w:rsidP="00A3136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Inactive</w:t>
            </w:r>
          </w:p>
          <w:p w:rsidR="00A3136B" w:rsidRPr="004517A8" w:rsidRDefault="00A3136B" w:rsidP="00A313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2E5" w:rsidRPr="004517A8" w:rsidRDefault="000462E5" w:rsidP="00A3136B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Services must also take into account and support the following target groups:</w:t>
            </w:r>
          </w:p>
          <w:p w:rsidR="000462E5" w:rsidRPr="004517A8" w:rsidRDefault="00397ACD" w:rsidP="00397AC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Unemployed (70%)</w:t>
            </w:r>
          </w:p>
          <w:p w:rsidR="00397ACD" w:rsidRPr="004517A8" w:rsidRDefault="00397ACD" w:rsidP="00397AC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Inactive (25%)</w:t>
            </w:r>
          </w:p>
          <w:p w:rsidR="00B76F35" w:rsidRPr="004517A8" w:rsidRDefault="00B76F35" w:rsidP="00397AC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Over 50s (20%)</w:t>
            </w:r>
          </w:p>
          <w:p w:rsidR="00397ACD" w:rsidRPr="004517A8" w:rsidRDefault="00B76F35" w:rsidP="00397AC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Ethnic minorities (9</w:t>
            </w:r>
            <w:r w:rsidR="00397ACD" w:rsidRPr="004517A8">
              <w:rPr>
                <w:rFonts w:ascii="Arial" w:hAnsi="Arial" w:cs="Arial"/>
                <w:sz w:val="24"/>
                <w:szCs w:val="24"/>
              </w:rPr>
              <w:t>%)</w:t>
            </w:r>
          </w:p>
          <w:p w:rsidR="00397ACD" w:rsidRPr="004517A8" w:rsidRDefault="00397ACD" w:rsidP="00397AC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Female (46%)</w:t>
            </w:r>
          </w:p>
          <w:p w:rsidR="00397ACD" w:rsidRPr="004517A8" w:rsidRDefault="00397ACD" w:rsidP="00397AC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Disabilities/health</w:t>
            </w:r>
            <w:r w:rsidR="00B76F35" w:rsidRPr="004517A8">
              <w:rPr>
                <w:rFonts w:ascii="Arial" w:hAnsi="Arial" w:cs="Arial"/>
                <w:sz w:val="24"/>
                <w:szCs w:val="24"/>
              </w:rPr>
              <w:t xml:space="preserve"> problems (25</w:t>
            </w:r>
            <w:r w:rsidRPr="004517A8">
              <w:rPr>
                <w:rFonts w:ascii="Arial" w:hAnsi="Arial" w:cs="Arial"/>
                <w:sz w:val="24"/>
                <w:szCs w:val="24"/>
              </w:rPr>
              <w:t>%)</w:t>
            </w:r>
          </w:p>
          <w:p w:rsidR="00397ACD" w:rsidRPr="004517A8" w:rsidRDefault="00B76F35" w:rsidP="00397AC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Lone parents (14</w:t>
            </w:r>
            <w:r w:rsidR="00397ACD" w:rsidRPr="004517A8">
              <w:rPr>
                <w:rFonts w:ascii="Arial" w:hAnsi="Arial" w:cs="Arial"/>
                <w:sz w:val="24"/>
                <w:szCs w:val="24"/>
              </w:rPr>
              <w:t>%)</w:t>
            </w:r>
          </w:p>
          <w:p w:rsidR="000462E5" w:rsidRPr="004517A8" w:rsidRDefault="00B76F35" w:rsidP="00DC5A7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No basic skills (21</w:t>
            </w:r>
            <w:r w:rsidR="00397ACD" w:rsidRPr="004517A8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A3136B" w:rsidRPr="004517A8" w:rsidRDefault="00307BD4">
            <w:pPr>
              <w:rPr>
                <w:rFonts w:ascii="Arial" w:hAnsi="Arial" w:cs="Arial"/>
                <w:sz w:val="24"/>
                <w:szCs w:val="24"/>
              </w:rPr>
            </w:pPr>
            <w:r w:rsidRPr="004517A8">
              <w:rPr>
                <w:rFonts w:ascii="Arial" w:hAnsi="Arial" w:cs="Arial"/>
                <w:sz w:val="24"/>
                <w:szCs w:val="24"/>
              </w:rPr>
              <w:t>P10</w:t>
            </w:r>
          </w:p>
        </w:tc>
      </w:tr>
    </w:tbl>
    <w:p w:rsidR="007174FF" w:rsidRPr="004517A8" w:rsidRDefault="007174FF" w:rsidP="004517A8">
      <w:pPr>
        <w:rPr>
          <w:rFonts w:ascii="Arial" w:hAnsi="Arial" w:cs="Arial"/>
          <w:sz w:val="24"/>
          <w:szCs w:val="24"/>
        </w:rPr>
      </w:pPr>
    </w:p>
    <w:sectPr w:rsidR="007174FF" w:rsidRPr="004517A8" w:rsidSect="00D1382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DD" w:rsidRDefault="001B30DD" w:rsidP="001B30DD">
      <w:pPr>
        <w:spacing w:after="0" w:line="240" w:lineRule="auto"/>
      </w:pPr>
      <w:r>
        <w:separator/>
      </w:r>
    </w:p>
  </w:endnote>
  <w:endnote w:type="continuationSeparator" w:id="0">
    <w:p w:rsidR="001B30DD" w:rsidRDefault="001B30DD" w:rsidP="001B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734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0DD" w:rsidRDefault="001B30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0DD" w:rsidRDefault="001B3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DD" w:rsidRDefault="001B30DD" w:rsidP="001B30DD">
      <w:pPr>
        <w:spacing w:after="0" w:line="240" w:lineRule="auto"/>
      </w:pPr>
      <w:r>
        <w:separator/>
      </w:r>
    </w:p>
  </w:footnote>
  <w:footnote w:type="continuationSeparator" w:id="0">
    <w:p w:rsidR="001B30DD" w:rsidRDefault="001B30DD" w:rsidP="001B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F44"/>
    <w:multiLevelType w:val="hybridMultilevel"/>
    <w:tmpl w:val="046C1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68A0"/>
    <w:multiLevelType w:val="hybridMultilevel"/>
    <w:tmpl w:val="30A44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46A"/>
    <w:multiLevelType w:val="hybridMultilevel"/>
    <w:tmpl w:val="B74A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32CE"/>
    <w:multiLevelType w:val="hybridMultilevel"/>
    <w:tmpl w:val="893A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A1DFC"/>
    <w:multiLevelType w:val="hybridMultilevel"/>
    <w:tmpl w:val="EC28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7276B"/>
    <w:multiLevelType w:val="hybridMultilevel"/>
    <w:tmpl w:val="EB74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86432"/>
    <w:multiLevelType w:val="hybridMultilevel"/>
    <w:tmpl w:val="2F0E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F6970"/>
    <w:multiLevelType w:val="hybridMultilevel"/>
    <w:tmpl w:val="8186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547E7"/>
    <w:multiLevelType w:val="hybridMultilevel"/>
    <w:tmpl w:val="6DC4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E59FB"/>
    <w:multiLevelType w:val="hybridMultilevel"/>
    <w:tmpl w:val="5654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D29CA"/>
    <w:multiLevelType w:val="hybridMultilevel"/>
    <w:tmpl w:val="E4C6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E7E95"/>
    <w:multiLevelType w:val="hybridMultilevel"/>
    <w:tmpl w:val="FA565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A26FF"/>
    <w:multiLevelType w:val="hybridMultilevel"/>
    <w:tmpl w:val="9544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A1DB0"/>
    <w:multiLevelType w:val="hybridMultilevel"/>
    <w:tmpl w:val="5DE0B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151F5"/>
    <w:multiLevelType w:val="hybridMultilevel"/>
    <w:tmpl w:val="FAFAF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0277A"/>
    <w:multiLevelType w:val="hybridMultilevel"/>
    <w:tmpl w:val="4D52B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53F95"/>
    <w:multiLevelType w:val="hybridMultilevel"/>
    <w:tmpl w:val="EEE0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458F9"/>
    <w:multiLevelType w:val="hybridMultilevel"/>
    <w:tmpl w:val="320C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E63AC"/>
    <w:multiLevelType w:val="hybridMultilevel"/>
    <w:tmpl w:val="30BA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C2DD2"/>
    <w:multiLevelType w:val="hybridMultilevel"/>
    <w:tmpl w:val="F488C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60227"/>
    <w:multiLevelType w:val="hybridMultilevel"/>
    <w:tmpl w:val="41B2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F6662"/>
    <w:multiLevelType w:val="hybridMultilevel"/>
    <w:tmpl w:val="31B8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F0040"/>
    <w:multiLevelType w:val="hybridMultilevel"/>
    <w:tmpl w:val="8F94C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E491C"/>
    <w:multiLevelType w:val="hybridMultilevel"/>
    <w:tmpl w:val="E4B0E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06ED4"/>
    <w:multiLevelType w:val="hybridMultilevel"/>
    <w:tmpl w:val="F6CA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D46B3"/>
    <w:multiLevelType w:val="hybridMultilevel"/>
    <w:tmpl w:val="1346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729F1"/>
    <w:multiLevelType w:val="hybridMultilevel"/>
    <w:tmpl w:val="84505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539DF"/>
    <w:multiLevelType w:val="hybridMultilevel"/>
    <w:tmpl w:val="C756A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015BF"/>
    <w:multiLevelType w:val="hybridMultilevel"/>
    <w:tmpl w:val="0454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18"/>
  </w:num>
  <w:num w:numId="7">
    <w:abstractNumId w:val="6"/>
  </w:num>
  <w:num w:numId="8">
    <w:abstractNumId w:val="23"/>
  </w:num>
  <w:num w:numId="9">
    <w:abstractNumId w:val="19"/>
  </w:num>
  <w:num w:numId="10">
    <w:abstractNumId w:val="12"/>
  </w:num>
  <w:num w:numId="11">
    <w:abstractNumId w:val="5"/>
  </w:num>
  <w:num w:numId="12">
    <w:abstractNumId w:val="22"/>
  </w:num>
  <w:num w:numId="13">
    <w:abstractNumId w:val="25"/>
  </w:num>
  <w:num w:numId="14">
    <w:abstractNumId w:val="4"/>
  </w:num>
  <w:num w:numId="15">
    <w:abstractNumId w:val="16"/>
  </w:num>
  <w:num w:numId="16">
    <w:abstractNumId w:val="11"/>
  </w:num>
  <w:num w:numId="17">
    <w:abstractNumId w:val="7"/>
  </w:num>
  <w:num w:numId="18">
    <w:abstractNumId w:val="24"/>
  </w:num>
  <w:num w:numId="19">
    <w:abstractNumId w:val="15"/>
  </w:num>
  <w:num w:numId="20">
    <w:abstractNumId w:val="27"/>
  </w:num>
  <w:num w:numId="21">
    <w:abstractNumId w:val="13"/>
  </w:num>
  <w:num w:numId="22">
    <w:abstractNumId w:val="17"/>
  </w:num>
  <w:num w:numId="23">
    <w:abstractNumId w:val="20"/>
  </w:num>
  <w:num w:numId="24">
    <w:abstractNumId w:val="26"/>
  </w:num>
  <w:num w:numId="25">
    <w:abstractNumId w:val="2"/>
  </w:num>
  <w:num w:numId="26">
    <w:abstractNumId w:val="14"/>
  </w:num>
  <w:num w:numId="27">
    <w:abstractNumId w:val="28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D4"/>
    <w:rsid w:val="00003DEC"/>
    <w:rsid w:val="00015910"/>
    <w:rsid w:val="000462E5"/>
    <w:rsid w:val="00047148"/>
    <w:rsid w:val="00047D15"/>
    <w:rsid w:val="000D222C"/>
    <w:rsid w:val="001557FE"/>
    <w:rsid w:val="001720A5"/>
    <w:rsid w:val="00183141"/>
    <w:rsid w:val="001A048B"/>
    <w:rsid w:val="001B30DD"/>
    <w:rsid w:val="001C6295"/>
    <w:rsid w:val="00257EC5"/>
    <w:rsid w:val="00276920"/>
    <w:rsid w:val="002962A4"/>
    <w:rsid w:val="002C3FDC"/>
    <w:rsid w:val="00307BD4"/>
    <w:rsid w:val="00330DC5"/>
    <w:rsid w:val="00397ACD"/>
    <w:rsid w:val="00401C95"/>
    <w:rsid w:val="00416966"/>
    <w:rsid w:val="00424AFA"/>
    <w:rsid w:val="004517A8"/>
    <w:rsid w:val="0048338E"/>
    <w:rsid w:val="004B76E4"/>
    <w:rsid w:val="004E51C6"/>
    <w:rsid w:val="004F261B"/>
    <w:rsid w:val="00514575"/>
    <w:rsid w:val="00561FF7"/>
    <w:rsid w:val="00566D71"/>
    <w:rsid w:val="00577079"/>
    <w:rsid w:val="005978A3"/>
    <w:rsid w:val="005B3E60"/>
    <w:rsid w:val="005C18C2"/>
    <w:rsid w:val="005C3D5F"/>
    <w:rsid w:val="00603BEA"/>
    <w:rsid w:val="0065367A"/>
    <w:rsid w:val="00662954"/>
    <w:rsid w:val="00687CA9"/>
    <w:rsid w:val="00696823"/>
    <w:rsid w:val="006F7FD4"/>
    <w:rsid w:val="007174FF"/>
    <w:rsid w:val="007A35B2"/>
    <w:rsid w:val="007F0236"/>
    <w:rsid w:val="007F5AD9"/>
    <w:rsid w:val="00804DBA"/>
    <w:rsid w:val="00813CD3"/>
    <w:rsid w:val="00850FBC"/>
    <w:rsid w:val="00880D29"/>
    <w:rsid w:val="008C4A39"/>
    <w:rsid w:val="008F286A"/>
    <w:rsid w:val="00913F6A"/>
    <w:rsid w:val="00980E04"/>
    <w:rsid w:val="009C7078"/>
    <w:rsid w:val="00A20886"/>
    <w:rsid w:val="00A30451"/>
    <w:rsid w:val="00A3136B"/>
    <w:rsid w:val="00A95E82"/>
    <w:rsid w:val="00A9705B"/>
    <w:rsid w:val="00B579B7"/>
    <w:rsid w:val="00B63D45"/>
    <w:rsid w:val="00B76CA8"/>
    <w:rsid w:val="00B76F35"/>
    <w:rsid w:val="00BD389F"/>
    <w:rsid w:val="00BE3B71"/>
    <w:rsid w:val="00C048F0"/>
    <w:rsid w:val="00C2637E"/>
    <w:rsid w:val="00C4686F"/>
    <w:rsid w:val="00C55C54"/>
    <w:rsid w:val="00C63A44"/>
    <w:rsid w:val="00C82954"/>
    <w:rsid w:val="00C86C04"/>
    <w:rsid w:val="00CA507F"/>
    <w:rsid w:val="00CB2041"/>
    <w:rsid w:val="00D05518"/>
    <w:rsid w:val="00D1382D"/>
    <w:rsid w:val="00D24434"/>
    <w:rsid w:val="00D33D57"/>
    <w:rsid w:val="00D4259C"/>
    <w:rsid w:val="00D46DA7"/>
    <w:rsid w:val="00DC5A71"/>
    <w:rsid w:val="00DD2FE6"/>
    <w:rsid w:val="00DF3238"/>
    <w:rsid w:val="00E03285"/>
    <w:rsid w:val="00E1009B"/>
    <w:rsid w:val="00E328C9"/>
    <w:rsid w:val="00E62FA6"/>
    <w:rsid w:val="00F214B6"/>
    <w:rsid w:val="00F75AFB"/>
    <w:rsid w:val="00F9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DD"/>
  </w:style>
  <w:style w:type="paragraph" w:styleId="Footer">
    <w:name w:val="footer"/>
    <w:basedOn w:val="Normal"/>
    <w:link w:val="FooterChar"/>
    <w:uiPriority w:val="99"/>
    <w:unhideWhenUsed/>
    <w:rsid w:val="001B3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DD"/>
  </w:style>
  <w:style w:type="paragraph" w:styleId="NormalWeb">
    <w:name w:val="Normal (Web)"/>
    <w:basedOn w:val="Normal"/>
    <w:uiPriority w:val="99"/>
    <w:semiHidden/>
    <w:unhideWhenUsed/>
    <w:rsid w:val="0045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DD"/>
  </w:style>
  <w:style w:type="paragraph" w:styleId="Footer">
    <w:name w:val="footer"/>
    <w:basedOn w:val="Normal"/>
    <w:link w:val="FooterChar"/>
    <w:uiPriority w:val="99"/>
    <w:unhideWhenUsed/>
    <w:rsid w:val="001B3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DD"/>
  </w:style>
  <w:style w:type="paragraph" w:styleId="NormalWeb">
    <w:name w:val="Normal (Web)"/>
    <w:basedOn w:val="Normal"/>
    <w:uiPriority w:val="99"/>
    <w:semiHidden/>
    <w:unhideWhenUsed/>
    <w:rsid w:val="0045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4AB6118A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Grimsby Institute Group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Ward</dc:creator>
  <cp:lastModifiedBy>Storey, David</cp:lastModifiedBy>
  <cp:revision>2</cp:revision>
  <cp:lastPrinted>2016-06-28T08:42:00Z</cp:lastPrinted>
  <dcterms:created xsi:type="dcterms:W3CDTF">2016-08-11T15:12:00Z</dcterms:created>
  <dcterms:modified xsi:type="dcterms:W3CDTF">2016-08-11T15:12:00Z</dcterms:modified>
</cp:coreProperties>
</file>