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64" w:rsidRPr="00072064" w:rsidRDefault="00072064" w:rsidP="00072064">
      <w:pPr>
        <w:spacing w:after="0" w:line="240" w:lineRule="auto"/>
        <w:ind w:left="0" w:firstLine="0"/>
        <w:jc w:val="right"/>
        <w:rPr>
          <w:rFonts w:ascii="Lincoln College" w:eastAsia="Times New Roman" w:hAnsi="Lincoln College" w:cs="Arial"/>
          <w:color w:val="260F54"/>
          <w:sz w:val="198"/>
          <w:szCs w:val="198"/>
        </w:rPr>
      </w:pPr>
      <w:bookmarkStart w:id="0" w:name="_GoBack"/>
      <w:bookmarkEnd w:id="0"/>
      <w:r w:rsidRPr="00072064">
        <w:rPr>
          <w:rFonts w:ascii="Lincoln College" w:eastAsia="Times New Roman" w:hAnsi="Lincoln College" w:cs="Arial"/>
          <w:noProof/>
          <w:color w:val="260F54"/>
          <w:sz w:val="198"/>
          <w:szCs w:val="198"/>
        </w:rPr>
        <w:drawing>
          <wp:inline distT="0" distB="0" distL="0" distR="0">
            <wp:extent cx="1454785" cy="1466850"/>
            <wp:effectExtent l="0" t="0" r="0" b="0"/>
            <wp:docPr id="1" name="Picture 1" descr="Lincoln College LOGO No dot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coln College LOGO No dots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1466850"/>
                    </a:xfrm>
                    <a:prstGeom prst="rect">
                      <a:avLst/>
                    </a:prstGeom>
                    <a:noFill/>
                    <a:ln>
                      <a:noFill/>
                    </a:ln>
                  </pic:spPr>
                </pic:pic>
              </a:graphicData>
            </a:graphic>
          </wp:inline>
        </w:drawing>
      </w: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left"/>
        <w:rPr>
          <w:rFonts w:ascii="Arial" w:eastAsia="Times New Roman" w:hAnsi="Arial" w:cs="Arial"/>
          <w:b/>
          <w:color w:val="auto"/>
          <w:sz w:val="23"/>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44"/>
          <w:szCs w:val="23"/>
        </w:rPr>
      </w:pPr>
      <w:smartTag w:uri="urn:schemas-microsoft-com:office:smarttags" w:element="place">
        <w:smartTag w:uri="urn:schemas-microsoft-com:office:smarttags" w:element="PlaceName">
          <w:r w:rsidRPr="00072064">
            <w:rPr>
              <w:rFonts w:ascii="Arial" w:eastAsia="Times New Roman" w:hAnsi="Arial" w:cs="Arial"/>
              <w:b/>
              <w:color w:val="auto"/>
              <w:sz w:val="44"/>
              <w:szCs w:val="23"/>
            </w:rPr>
            <w:t>LINCOLN</w:t>
          </w:r>
        </w:smartTag>
        <w:r w:rsidRPr="00072064">
          <w:rPr>
            <w:rFonts w:ascii="Arial" w:eastAsia="Times New Roman" w:hAnsi="Arial" w:cs="Arial"/>
            <w:b/>
            <w:color w:val="auto"/>
            <w:sz w:val="44"/>
            <w:szCs w:val="23"/>
          </w:rPr>
          <w:t xml:space="preserve"> </w:t>
        </w:r>
        <w:smartTag w:uri="urn:schemas-microsoft-com:office:smarttags" w:element="PlaceType">
          <w:r w:rsidRPr="00072064">
            <w:rPr>
              <w:rFonts w:ascii="Arial" w:eastAsia="Times New Roman" w:hAnsi="Arial" w:cs="Arial"/>
              <w:b/>
              <w:color w:val="auto"/>
              <w:sz w:val="44"/>
              <w:szCs w:val="23"/>
            </w:rPr>
            <w:t>COLLEGE</w:t>
          </w:r>
        </w:smartTag>
      </w:smartTag>
    </w:p>
    <w:p w:rsidR="00072064" w:rsidRPr="00072064" w:rsidRDefault="00072064" w:rsidP="00072064">
      <w:pPr>
        <w:spacing w:after="0" w:line="360" w:lineRule="auto"/>
        <w:ind w:left="0" w:firstLine="0"/>
        <w:jc w:val="center"/>
        <w:rPr>
          <w:rFonts w:ascii="Arial" w:eastAsia="Times New Roman" w:hAnsi="Arial" w:cs="Arial"/>
          <w:b/>
          <w:color w:val="auto"/>
          <w:sz w:val="44"/>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44"/>
          <w:szCs w:val="23"/>
        </w:rPr>
      </w:pPr>
      <w:r>
        <w:rPr>
          <w:rFonts w:ascii="Arial" w:eastAsia="Times New Roman" w:hAnsi="Arial" w:cs="Arial"/>
          <w:b/>
          <w:color w:val="auto"/>
          <w:sz w:val="44"/>
          <w:szCs w:val="23"/>
        </w:rPr>
        <w:t>SUPPLY CHAIN FEES</w:t>
      </w:r>
      <w:r w:rsidR="00A57C79">
        <w:rPr>
          <w:rFonts w:ascii="Arial" w:eastAsia="Times New Roman" w:hAnsi="Arial" w:cs="Arial"/>
          <w:b/>
          <w:color w:val="auto"/>
          <w:sz w:val="44"/>
          <w:szCs w:val="23"/>
        </w:rPr>
        <w:t xml:space="preserve"> AND CHARGES</w:t>
      </w: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r w:rsidRPr="00072064">
        <w:rPr>
          <w:rFonts w:ascii="Arial" w:eastAsia="Times New Roman" w:hAnsi="Arial" w:cs="Arial"/>
          <w:b/>
          <w:color w:val="auto"/>
          <w:sz w:val="37"/>
          <w:szCs w:val="23"/>
        </w:rPr>
        <w:t>POLICY CO</w:t>
      </w:r>
      <w:r>
        <w:rPr>
          <w:rFonts w:ascii="Arial" w:eastAsia="Times New Roman" w:hAnsi="Arial" w:cs="Arial"/>
          <w:b/>
          <w:color w:val="auto"/>
          <w:sz w:val="37"/>
          <w:szCs w:val="23"/>
        </w:rPr>
        <w:t>/PO</w:t>
      </w:r>
      <w:r w:rsidRPr="00072064">
        <w:rPr>
          <w:rFonts w:ascii="Arial" w:eastAsia="Times New Roman" w:hAnsi="Arial" w:cs="Arial"/>
          <w:b/>
          <w:color w:val="auto"/>
          <w:sz w:val="37"/>
          <w:szCs w:val="23"/>
        </w:rPr>
        <w:t>/</w:t>
      </w:r>
      <w:r>
        <w:rPr>
          <w:rFonts w:ascii="Arial" w:eastAsia="Times New Roman" w:hAnsi="Arial" w:cs="Arial"/>
          <w:b/>
          <w:color w:val="auto"/>
          <w:sz w:val="37"/>
          <w:szCs w:val="23"/>
        </w:rPr>
        <w:t>18</w:t>
      </w: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Pr="00072064" w:rsidRDefault="00072064" w:rsidP="00072064">
      <w:pPr>
        <w:spacing w:after="0" w:line="360" w:lineRule="auto"/>
        <w:ind w:left="0" w:firstLine="0"/>
        <w:jc w:val="center"/>
        <w:rPr>
          <w:rFonts w:ascii="Arial" w:eastAsia="Times New Roman" w:hAnsi="Arial" w:cs="Arial"/>
          <w:color w:val="auto"/>
          <w:sz w:val="36"/>
          <w:szCs w:val="23"/>
        </w:rPr>
      </w:pPr>
      <w:r w:rsidRPr="00072064">
        <w:rPr>
          <w:rFonts w:ascii="Arial" w:eastAsia="Times New Roman" w:hAnsi="Arial" w:cs="Arial"/>
          <w:b/>
          <w:color w:val="auto"/>
          <w:sz w:val="36"/>
          <w:szCs w:val="23"/>
        </w:rPr>
        <w:t>SPONSOR</w:t>
      </w:r>
    </w:p>
    <w:p w:rsidR="00072064" w:rsidRPr="00072064" w:rsidRDefault="00072064" w:rsidP="00072064">
      <w:pPr>
        <w:spacing w:after="0" w:line="360" w:lineRule="auto"/>
        <w:ind w:left="0" w:firstLine="0"/>
        <w:jc w:val="center"/>
        <w:rPr>
          <w:rFonts w:ascii="Arial" w:eastAsia="Times New Roman" w:hAnsi="Arial" w:cs="Arial"/>
          <w:color w:val="auto"/>
          <w:sz w:val="36"/>
          <w:szCs w:val="23"/>
        </w:rPr>
      </w:pPr>
      <w:r w:rsidRPr="00072064">
        <w:rPr>
          <w:rFonts w:ascii="Arial" w:eastAsia="Times New Roman" w:hAnsi="Arial" w:cs="Arial"/>
          <w:color w:val="auto"/>
          <w:sz w:val="36"/>
          <w:szCs w:val="23"/>
        </w:rPr>
        <w:t>Director of</w:t>
      </w:r>
      <w:r w:rsidR="00682084">
        <w:rPr>
          <w:rFonts w:ascii="Arial" w:eastAsia="Times New Roman" w:hAnsi="Arial" w:cs="Arial"/>
          <w:color w:val="auto"/>
          <w:sz w:val="36"/>
          <w:szCs w:val="23"/>
        </w:rPr>
        <w:t xml:space="preserve"> Apprenticeships</w:t>
      </w:r>
      <w:r>
        <w:rPr>
          <w:rFonts w:ascii="Arial" w:eastAsia="Times New Roman" w:hAnsi="Arial" w:cs="Arial"/>
          <w:color w:val="auto"/>
          <w:sz w:val="36"/>
          <w:szCs w:val="23"/>
        </w:rPr>
        <w:t xml:space="preserve"> </w:t>
      </w:r>
    </w:p>
    <w:p w:rsidR="00072064" w:rsidRPr="00072064" w:rsidRDefault="00072064" w:rsidP="00072064">
      <w:pPr>
        <w:spacing w:after="0" w:line="360" w:lineRule="auto"/>
        <w:ind w:left="0" w:firstLine="0"/>
        <w:jc w:val="center"/>
        <w:rPr>
          <w:rFonts w:ascii="Arial" w:eastAsia="Times New Roman" w:hAnsi="Arial" w:cs="Arial"/>
          <w:b/>
          <w:color w:val="auto"/>
          <w:sz w:val="37"/>
          <w:szCs w:val="23"/>
        </w:rPr>
      </w:pPr>
    </w:p>
    <w:p w:rsidR="00072064" w:rsidRDefault="00072064" w:rsidP="00072064">
      <w:pPr>
        <w:tabs>
          <w:tab w:val="left" w:pos="3862"/>
        </w:tabs>
        <w:spacing w:after="0" w:line="240" w:lineRule="auto"/>
        <w:ind w:left="0" w:firstLine="0"/>
        <w:rPr>
          <w:rFonts w:ascii="Arial" w:eastAsia="Times New Roman" w:hAnsi="Arial" w:cs="Arial"/>
          <w:b/>
          <w:color w:val="auto"/>
          <w:sz w:val="36"/>
          <w:szCs w:val="23"/>
        </w:rPr>
      </w:pPr>
      <w:r>
        <w:rPr>
          <w:rFonts w:ascii="Arial" w:eastAsia="Times New Roman" w:hAnsi="Arial" w:cs="Arial"/>
          <w:b/>
          <w:color w:val="auto"/>
          <w:sz w:val="36"/>
          <w:szCs w:val="23"/>
        </w:rPr>
        <w:tab/>
      </w:r>
    </w:p>
    <w:p w:rsidR="00A57C79" w:rsidRDefault="00A57C79" w:rsidP="00072064">
      <w:pPr>
        <w:spacing w:after="0" w:line="240" w:lineRule="auto"/>
        <w:ind w:left="0" w:firstLine="0"/>
        <w:rPr>
          <w:rFonts w:ascii="Arial" w:eastAsia="Times New Roman" w:hAnsi="Arial" w:cs="Arial"/>
          <w:sz w:val="36"/>
          <w:szCs w:val="23"/>
        </w:rPr>
      </w:pPr>
    </w:p>
    <w:p w:rsidR="00072064" w:rsidRPr="00072064" w:rsidRDefault="00072064" w:rsidP="00072064">
      <w:pPr>
        <w:spacing w:after="0" w:line="240" w:lineRule="auto"/>
        <w:ind w:left="0" w:firstLine="0"/>
        <w:rPr>
          <w:rFonts w:ascii="Arial" w:eastAsia="Times New Roman" w:hAnsi="Arial" w:cs="Arial"/>
          <w:b/>
          <w:color w:val="auto"/>
          <w:sz w:val="24"/>
          <w:szCs w:val="24"/>
        </w:rPr>
      </w:pPr>
      <w:r w:rsidRPr="00A57C79">
        <w:rPr>
          <w:rFonts w:ascii="Arial" w:eastAsia="Times New Roman" w:hAnsi="Arial" w:cs="Arial"/>
          <w:sz w:val="36"/>
          <w:szCs w:val="23"/>
        </w:rPr>
        <w:br w:type="page"/>
      </w:r>
      <w:r w:rsidRPr="00072064">
        <w:rPr>
          <w:rFonts w:ascii="Arial" w:eastAsia="Times New Roman" w:hAnsi="Arial" w:cs="Arial"/>
          <w:b/>
          <w:color w:val="auto"/>
          <w:sz w:val="24"/>
          <w:szCs w:val="24"/>
        </w:rPr>
        <w:lastRenderedPageBreak/>
        <w:t>Equality and Diversity Statement</w:t>
      </w:r>
    </w:p>
    <w:p w:rsidR="00072064" w:rsidRPr="00072064" w:rsidRDefault="00072064" w:rsidP="00072064">
      <w:pPr>
        <w:spacing w:after="0" w:line="240" w:lineRule="auto"/>
        <w:ind w:left="0" w:firstLine="0"/>
        <w:rPr>
          <w:rFonts w:ascii="Arial" w:eastAsia="Times New Roman" w:hAnsi="Arial" w:cs="Arial"/>
          <w:color w:val="auto"/>
          <w:sz w:val="24"/>
          <w:szCs w:val="24"/>
        </w:rPr>
      </w:pPr>
    </w:p>
    <w:p w:rsidR="00072064" w:rsidRPr="00072064" w:rsidRDefault="00072064" w:rsidP="00072064">
      <w:pPr>
        <w:spacing w:after="0" w:line="240" w:lineRule="auto"/>
        <w:ind w:left="0" w:firstLine="0"/>
        <w:rPr>
          <w:rFonts w:ascii="Arial" w:eastAsia="Times New Roman" w:hAnsi="Arial" w:cs="Arial"/>
          <w:color w:val="auto"/>
          <w:sz w:val="24"/>
          <w:szCs w:val="24"/>
        </w:rPr>
      </w:pPr>
      <w:smartTag w:uri="urn:schemas-microsoft-com:office:smarttags" w:element="place">
        <w:smartTag w:uri="urn:schemas-microsoft-com:office:smarttags" w:element="PlaceName">
          <w:r w:rsidRPr="00072064">
            <w:rPr>
              <w:rFonts w:ascii="Arial" w:eastAsia="Times New Roman" w:hAnsi="Arial" w:cs="Arial"/>
              <w:color w:val="auto"/>
              <w:sz w:val="24"/>
              <w:szCs w:val="24"/>
            </w:rPr>
            <w:t>Lincoln</w:t>
          </w:r>
        </w:smartTag>
        <w:r w:rsidRPr="00072064">
          <w:rPr>
            <w:rFonts w:ascii="Arial" w:eastAsia="Times New Roman" w:hAnsi="Arial" w:cs="Arial"/>
            <w:color w:val="auto"/>
            <w:sz w:val="24"/>
            <w:szCs w:val="24"/>
          </w:rPr>
          <w:t xml:space="preserve"> </w:t>
        </w:r>
        <w:smartTag w:uri="urn:schemas-microsoft-com:office:smarttags" w:element="PlaceType">
          <w:r w:rsidRPr="00072064">
            <w:rPr>
              <w:rFonts w:ascii="Arial" w:eastAsia="Times New Roman" w:hAnsi="Arial" w:cs="Arial"/>
              <w:color w:val="auto"/>
              <w:sz w:val="24"/>
              <w:szCs w:val="24"/>
            </w:rPr>
            <w:t>College</w:t>
          </w:r>
        </w:smartTag>
      </w:smartTag>
      <w:r w:rsidRPr="00072064">
        <w:rPr>
          <w:rFonts w:ascii="Arial" w:eastAsia="Times New Roman" w:hAnsi="Arial" w:cs="Arial"/>
          <w:color w:val="auto"/>
          <w:sz w:val="24"/>
          <w:szCs w:val="24"/>
        </w:rPr>
        <w:t xml:space="preserve">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rsidR="00072064" w:rsidRDefault="00072064">
      <w:pPr>
        <w:spacing w:after="160" w:line="259" w:lineRule="auto"/>
        <w:ind w:left="0" w:firstLine="0"/>
        <w:jc w:val="left"/>
        <w:rPr>
          <w:rFonts w:ascii="Arial" w:hAnsi="Arial" w:cs="Arial"/>
          <w:noProof/>
          <w:sz w:val="24"/>
          <w:szCs w:val="24"/>
        </w:rPr>
      </w:pPr>
      <w:r>
        <w:rPr>
          <w:rFonts w:ascii="Arial" w:hAnsi="Arial" w:cs="Arial"/>
          <w:noProof/>
          <w:sz w:val="24"/>
          <w:szCs w:val="24"/>
        </w:rPr>
        <w:br w:type="page"/>
      </w:r>
    </w:p>
    <w:p w:rsidR="00885103" w:rsidRPr="00072064" w:rsidRDefault="00885103">
      <w:pPr>
        <w:rPr>
          <w:rFonts w:ascii="Arial" w:hAnsi="Arial" w:cs="Arial"/>
          <w:sz w:val="24"/>
          <w:szCs w:val="24"/>
        </w:rPr>
        <w:sectPr w:rsidR="00885103" w:rsidRPr="00072064" w:rsidSect="00072064">
          <w:footerReference w:type="even" r:id="rId9"/>
          <w:footerReference w:type="default" r:id="rId10"/>
          <w:footerReference w:type="first" r:id="rId11"/>
          <w:pgSz w:w="11907" w:h="16840" w:code="9"/>
          <w:pgMar w:top="992" w:right="1508" w:bottom="981" w:left="1327" w:header="720" w:footer="1015"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rsidR="00072064" w:rsidRPr="00072064" w:rsidRDefault="00072064">
      <w:pPr>
        <w:spacing w:after="192" w:line="259" w:lineRule="auto"/>
        <w:ind w:left="31" w:hanging="10"/>
        <w:jc w:val="left"/>
        <w:rPr>
          <w:rFonts w:ascii="Arial" w:hAnsi="Arial" w:cs="Arial"/>
          <w:b/>
          <w:sz w:val="24"/>
          <w:szCs w:val="24"/>
        </w:rPr>
      </w:pPr>
      <w:r w:rsidRPr="00072064">
        <w:rPr>
          <w:rFonts w:ascii="Arial" w:hAnsi="Arial" w:cs="Arial"/>
          <w:b/>
          <w:sz w:val="24"/>
          <w:szCs w:val="24"/>
        </w:rPr>
        <w:lastRenderedPageBreak/>
        <w:t>LINCOLN COLLEGE</w:t>
      </w:r>
    </w:p>
    <w:p w:rsidR="00072064" w:rsidRDefault="00072064">
      <w:pPr>
        <w:spacing w:after="192" w:line="259" w:lineRule="auto"/>
        <w:ind w:left="31" w:hanging="10"/>
        <w:jc w:val="left"/>
        <w:rPr>
          <w:rFonts w:ascii="Arial" w:hAnsi="Arial" w:cs="Arial"/>
          <w:b/>
          <w:sz w:val="24"/>
          <w:szCs w:val="24"/>
        </w:rPr>
      </w:pPr>
      <w:r w:rsidRPr="00072064">
        <w:rPr>
          <w:rFonts w:ascii="Arial" w:hAnsi="Arial" w:cs="Arial"/>
          <w:b/>
          <w:sz w:val="24"/>
          <w:szCs w:val="24"/>
        </w:rPr>
        <w:t>SUPPLY CHAIN FEES POLICY</w:t>
      </w:r>
    </w:p>
    <w:p w:rsidR="00885103" w:rsidRDefault="00072064">
      <w:pPr>
        <w:spacing w:after="192" w:line="259" w:lineRule="auto"/>
        <w:ind w:left="31" w:hanging="10"/>
        <w:jc w:val="left"/>
        <w:rPr>
          <w:rFonts w:ascii="Arial" w:hAnsi="Arial" w:cs="Arial"/>
          <w:b/>
          <w:sz w:val="24"/>
          <w:szCs w:val="24"/>
        </w:rPr>
      </w:pPr>
      <w:r>
        <w:rPr>
          <w:rFonts w:ascii="Arial" w:hAnsi="Arial" w:cs="Arial"/>
          <w:b/>
          <w:sz w:val="24"/>
          <w:szCs w:val="24"/>
        </w:rPr>
        <w:t>CONTENTS</w:t>
      </w:r>
    </w:p>
    <w:p w:rsidR="00072064" w:rsidRDefault="00072064">
      <w:pPr>
        <w:spacing w:after="192" w:line="259" w:lineRule="auto"/>
        <w:ind w:left="31" w:hanging="10"/>
        <w:jc w:val="left"/>
        <w:rPr>
          <w:rFonts w:ascii="Arial" w:hAnsi="Arial" w:cs="Arial"/>
          <w:b/>
          <w:sz w:val="24"/>
          <w:szCs w:val="24"/>
        </w:rPr>
      </w:pPr>
    </w:p>
    <w:tbl>
      <w:tblPr>
        <w:tblStyle w:val="TableGrid0"/>
        <w:tblW w:w="0" w:type="auto"/>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4795"/>
        <w:gridCol w:w="3020"/>
      </w:tblGrid>
      <w:tr w:rsidR="00072064" w:rsidTr="00072064">
        <w:tc>
          <w:tcPr>
            <w:tcW w:w="1245" w:type="dxa"/>
          </w:tcPr>
          <w:p w:rsidR="00072064" w:rsidRP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Para</w:t>
            </w:r>
          </w:p>
        </w:tc>
        <w:tc>
          <w:tcPr>
            <w:tcW w:w="4795" w:type="dxa"/>
          </w:tcPr>
          <w:p w:rsidR="00072064" w:rsidRP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Content</w:t>
            </w:r>
          </w:p>
        </w:tc>
        <w:tc>
          <w:tcPr>
            <w:tcW w:w="3020" w:type="dxa"/>
          </w:tcPr>
          <w:p w:rsidR="00072064" w:rsidRP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Page Number</w:t>
            </w:r>
          </w:p>
        </w:tc>
      </w:tr>
      <w:tr w:rsidR="00072064" w:rsidTr="00072064">
        <w:tc>
          <w:tcPr>
            <w:tcW w:w="1245" w:type="dxa"/>
          </w:tcPr>
          <w:p w:rsidR="00072064" w:rsidRP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1</w:t>
            </w:r>
          </w:p>
        </w:tc>
        <w:tc>
          <w:tcPr>
            <w:tcW w:w="4795"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Purpose</w:t>
            </w:r>
          </w:p>
        </w:tc>
        <w:tc>
          <w:tcPr>
            <w:tcW w:w="3020"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1</w:t>
            </w:r>
          </w:p>
        </w:tc>
      </w:tr>
      <w:tr w:rsidR="00072064" w:rsidTr="00072064">
        <w:tc>
          <w:tcPr>
            <w:tcW w:w="1245" w:type="dxa"/>
          </w:tcPr>
          <w:p w:rsid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2</w:t>
            </w:r>
          </w:p>
        </w:tc>
        <w:tc>
          <w:tcPr>
            <w:tcW w:w="4795"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Aim</w:t>
            </w:r>
          </w:p>
        </w:tc>
        <w:tc>
          <w:tcPr>
            <w:tcW w:w="3020"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1</w:t>
            </w:r>
          </w:p>
        </w:tc>
      </w:tr>
      <w:tr w:rsidR="00072064" w:rsidTr="00072064">
        <w:tc>
          <w:tcPr>
            <w:tcW w:w="1245" w:type="dxa"/>
          </w:tcPr>
          <w:p w:rsidR="00072064" w:rsidRDefault="00072064">
            <w:pPr>
              <w:spacing w:after="192" w:line="259" w:lineRule="auto"/>
              <w:ind w:left="0" w:firstLine="0"/>
              <w:jc w:val="left"/>
              <w:rPr>
                <w:rFonts w:ascii="Arial" w:hAnsi="Arial" w:cs="Arial"/>
                <w:b/>
                <w:sz w:val="24"/>
                <w:szCs w:val="24"/>
              </w:rPr>
            </w:pPr>
            <w:r>
              <w:rPr>
                <w:rFonts w:ascii="Arial" w:hAnsi="Arial" w:cs="Arial"/>
                <w:b/>
                <w:sz w:val="24"/>
                <w:szCs w:val="24"/>
              </w:rPr>
              <w:t>3</w:t>
            </w:r>
          </w:p>
        </w:tc>
        <w:tc>
          <w:tcPr>
            <w:tcW w:w="4795"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Introduction</w:t>
            </w:r>
          </w:p>
        </w:tc>
        <w:tc>
          <w:tcPr>
            <w:tcW w:w="3020"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1</w:t>
            </w:r>
          </w:p>
        </w:tc>
      </w:tr>
      <w:tr w:rsidR="001F08EA" w:rsidTr="00072064">
        <w:tc>
          <w:tcPr>
            <w:tcW w:w="1245" w:type="dxa"/>
          </w:tcPr>
          <w:p w:rsidR="001F08EA" w:rsidRDefault="001F08EA">
            <w:pPr>
              <w:spacing w:after="192" w:line="259" w:lineRule="auto"/>
              <w:ind w:left="0" w:firstLine="0"/>
              <w:jc w:val="left"/>
              <w:rPr>
                <w:rFonts w:ascii="Arial" w:hAnsi="Arial" w:cs="Arial"/>
                <w:b/>
                <w:sz w:val="24"/>
                <w:szCs w:val="24"/>
              </w:rPr>
            </w:pPr>
            <w:r>
              <w:rPr>
                <w:rFonts w:ascii="Arial" w:hAnsi="Arial" w:cs="Arial"/>
                <w:b/>
                <w:sz w:val="24"/>
                <w:szCs w:val="24"/>
              </w:rPr>
              <w:t>4</w:t>
            </w:r>
          </w:p>
        </w:tc>
        <w:tc>
          <w:tcPr>
            <w:tcW w:w="4795" w:type="dxa"/>
          </w:tcPr>
          <w:p w:rsidR="001F08EA" w:rsidRDefault="001F08EA">
            <w:pPr>
              <w:spacing w:after="192" w:line="259" w:lineRule="auto"/>
              <w:ind w:left="0" w:firstLine="0"/>
              <w:jc w:val="left"/>
              <w:rPr>
                <w:rFonts w:ascii="Arial" w:hAnsi="Arial" w:cs="Arial"/>
                <w:sz w:val="24"/>
                <w:szCs w:val="24"/>
              </w:rPr>
            </w:pPr>
            <w:r>
              <w:rPr>
                <w:rFonts w:ascii="Arial" w:hAnsi="Arial" w:cs="Arial"/>
                <w:sz w:val="24"/>
                <w:szCs w:val="24"/>
              </w:rPr>
              <w:t>Sub-Contracting Rationale</w:t>
            </w:r>
          </w:p>
        </w:tc>
        <w:tc>
          <w:tcPr>
            <w:tcW w:w="3020" w:type="dxa"/>
          </w:tcPr>
          <w:p w:rsidR="001F08EA" w:rsidRDefault="001F08EA">
            <w:pPr>
              <w:spacing w:after="192" w:line="259" w:lineRule="auto"/>
              <w:ind w:left="0" w:firstLine="0"/>
              <w:jc w:val="left"/>
              <w:rPr>
                <w:rFonts w:ascii="Arial" w:hAnsi="Arial" w:cs="Arial"/>
                <w:sz w:val="24"/>
                <w:szCs w:val="24"/>
              </w:rPr>
            </w:pPr>
            <w:r>
              <w:rPr>
                <w:rFonts w:ascii="Arial" w:hAnsi="Arial" w:cs="Arial"/>
                <w:sz w:val="24"/>
                <w:szCs w:val="24"/>
              </w:rPr>
              <w:t>1</w:t>
            </w:r>
          </w:p>
        </w:tc>
      </w:tr>
      <w:tr w:rsidR="00072064" w:rsidTr="00072064">
        <w:tc>
          <w:tcPr>
            <w:tcW w:w="1245" w:type="dxa"/>
          </w:tcPr>
          <w:p w:rsidR="00072064" w:rsidRDefault="001F08EA">
            <w:pPr>
              <w:spacing w:after="192" w:line="259" w:lineRule="auto"/>
              <w:ind w:left="0" w:firstLine="0"/>
              <w:jc w:val="left"/>
              <w:rPr>
                <w:rFonts w:ascii="Arial" w:hAnsi="Arial" w:cs="Arial"/>
                <w:b/>
                <w:sz w:val="24"/>
                <w:szCs w:val="24"/>
              </w:rPr>
            </w:pPr>
            <w:r>
              <w:rPr>
                <w:rFonts w:ascii="Arial" w:hAnsi="Arial" w:cs="Arial"/>
                <w:b/>
                <w:sz w:val="24"/>
                <w:szCs w:val="24"/>
              </w:rPr>
              <w:t>5</w:t>
            </w:r>
          </w:p>
        </w:tc>
        <w:tc>
          <w:tcPr>
            <w:tcW w:w="4795"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 xml:space="preserve">Fees and Monitoring </w:t>
            </w:r>
          </w:p>
        </w:tc>
        <w:tc>
          <w:tcPr>
            <w:tcW w:w="3020" w:type="dxa"/>
          </w:tcPr>
          <w:p w:rsidR="00072064" w:rsidRDefault="00072064">
            <w:pPr>
              <w:spacing w:after="192" w:line="259" w:lineRule="auto"/>
              <w:ind w:left="0" w:firstLine="0"/>
              <w:jc w:val="left"/>
              <w:rPr>
                <w:rFonts w:ascii="Arial" w:hAnsi="Arial" w:cs="Arial"/>
                <w:sz w:val="24"/>
                <w:szCs w:val="24"/>
              </w:rPr>
            </w:pPr>
            <w:r>
              <w:rPr>
                <w:rFonts w:ascii="Arial" w:hAnsi="Arial" w:cs="Arial"/>
                <w:sz w:val="24"/>
                <w:szCs w:val="24"/>
              </w:rPr>
              <w:t>2</w:t>
            </w:r>
          </w:p>
        </w:tc>
      </w:tr>
    </w:tbl>
    <w:p w:rsidR="00072064" w:rsidRPr="00072064" w:rsidRDefault="00072064">
      <w:pPr>
        <w:spacing w:after="192" w:line="259" w:lineRule="auto"/>
        <w:ind w:left="31" w:hanging="10"/>
        <w:jc w:val="left"/>
        <w:rPr>
          <w:rFonts w:ascii="Arial" w:hAnsi="Arial" w:cs="Arial"/>
          <w:sz w:val="24"/>
          <w:szCs w:val="24"/>
        </w:rPr>
      </w:pPr>
    </w:p>
    <w:p w:rsidR="001F08EA" w:rsidRDefault="001F08EA">
      <w:pPr>
        <w:spacing w:after="160" w:line="259" w:lineRule="auto"/>
        <w:ind w:left="0" w:firstLine="0"/>
        <w:jc w:val="left"/>
        <w:rPr>
          <w:rFonts w:ascii="Arial" w:hAnsi="Arial" w:cs="Arial"/>
          <w:sz w:val="24"/>
          <w:szCs w:val="24"/>
        </w:rPr>
        <w:sectPr w:rsidR="001F08EA">
          <w:footerReference w:type="even" r:id="rId12"/>
          <w:footerReference w:type="default" r:id="rId13"/>
          <w:footerReference w:type="first" r:id="rId14"/>
          <w:pgSz w:w="11900" w:h="16820"/>
          <w:pgMar w:top="1183" w:right="1527" w:bottom="670" w:left="1282" w:header="720" w:footer="662" w:gutter="0"/>
          <w:pgNumType w:start="1"/>
          <w:cols w:space="720"/>
        </w:sectPr>
      </w:pPr>
    </w:p>
    <w:p w:rsidR="00072064" w:rsidRPr="00072064" w:rsidRDefault="00072064" w:rsidP="00072064">
      <w:pPr>
        <w:spacing w:after="192" w:line="259" w:lineRule="auto"/>
        <w:ind w:left="31" w:hanging="10"/>
        <w:jc w:val="left"/>
        <w:rPr>
          <w:rFonts w:ascii="Arial" w:hAnsi="Arial" w:cs="Arial"/>
          <w:b/>
          <w:sz w:val="24"/>
          <w:szCs w:val="24"/>
        </w:rPr>
      </w:pPr>
      <w:r w:rsidRPr="00072064">
        <w:rPr>
          <w:rFonts w:ascii="Arial" w:hAnsi="Arial" w:cs="Arial"/>
          <w:b/>
          <w:sz w:val="24"/>
          <w:szCs w:val="24"/>
        </w:rPr>
        <w:lastRenderedPageBreak/>
        <w:t>LINCOLN COLLEGE</w:t>
      </w:r>
    </w:p>
    <w:p w:rsidR="00072064" w:rsidRPr="00072064" w:rsidRDefault="00072064" w:rsidP="00072064">
      <w:pPr>
        <w:spacing w:after="192" w:line="259" w:lineRule="auto"/>
        <w:ind w:left="31" w:hanging="10"/>
        <w:jc w:val="left"/>
        <w:rPr>
          <w:rFonts w:ascii="Arial" w:hAnsi="Arial" w:cs="Arial"/>
          <w:b/>
          <w:sz w:val="24"/>
          <w:szCs w:val="24"/>
        </w:rPr>
      </w:pPr>
      <w:r w:rsidRPr="00072064">
        <w:rPr>
          <w:rFonts w:ascii="Arial" w:hAnsi="Arial" w:cs="Arial"/>
          <w:b/>
          <w:sz w:val="24"/>
          <w:szCs w:val="24"/>
        </w:rPr>
        <w:t xml:space="preserve">SUPPLY CHAIN FEES POLICY </w:t>
      </w:r>
    </w:p>
    <w:p w:rsidR="00885103" w:rsidRPr="00072064" w:rsidRDefault="00072064">
      <w:pPr>
        <w:pStyle w:val="Heading1"/>
        <w:tabs>
          <w:tab w:val="center" w:pos="1372"/>
        </w:tabs>
        <w:spacing w:after="218"/>
        <w:ind w:left="0"/>
        <w:rPr>
          <w:rFonts w:ascii="Arial" w:hAnsi="Arial" w:cs="Arial"/>
          <w:sz w:val="24"/>
          <w:szCs w:val="24"/>
        </w:rPr>
      </w:pPr>
      <w:bookmarkStart w:id="1" w:name="_Toc16472"/>
      <w:r>
        <w:rPr>
          <w:rFonts w:ascii="Arial" w:hAnsi="Arial" w:cs="Arial"/>
          <w:noProof/>
          <w:sz w:val="24"/>
          <w:szCs w:val="24"/>
        </w:rPr>
        <w:t>1</w:t>
      </w:r>
      <w:r w:rsidRPr="00072064">
        <w:rPr>
          <w:rFonts w:ascii="Arial" w:hAnsi="Arial" w:cs="Arial"/>
          <w:sz w:val="24"/>
          <w:szCs w:val="24"/>
        </w:rPr>
        <w:tab/>
      </w:r>
      <w:r w:rsidRPr="00072064">
        <w:rPr>
          <w:rFonts w:ascii="Arial" w:hAnsi="Arial" w:cs="Arial"/>
          <w:b/>
          <w:sz w:val="24"/>
          <w:szCs w:val="24"/>
        </w:rPr>
        <w:t>PURPOSE</w:t>
      </w:r>
      <w:bookmarkEnd w:id="1"/>
    </w:p>
    <w:p w:rsidR="00885103" w:rsidRPr="00072064" w:rsidRDefault="00072064">
      <w:pPr>
        <w:spacing w:after="307"/>
        <w:ind w:left="788" w:right="7"/>
        <w:rPr>
          <w:rFonts w:ascii="Arial" w:hAnsi="Arial" w:cs="Arial"/>
          <w:sz w:val="24"/>
          <w:szCs w:val="24"/>
        </w:rPr>
      </w:pPr>
      <w:r w:rsidRPr="00072064">
        <w:rPr>
          <w:rFonts w:ascii="Arial" w:hAnsi="Arial" w:cs="Arial"/>
          <w:sz w:val="24"/>
          <w:szCs w:val="24"/>
        </w:rPr>
        <w:t>To set out the procedures involved in the manageme</w:t>
      </w:r>
      <w:r>
        <w:rPr>
          <w:rFonts w:ascii="Arial" w:hAnsi="Arial" w:cs="Arial"/>
          <w:sz w:val="24"/>
          <w:szCs w:val="24"/>
        </w:rPr>
        <w:t>nt of external C</w:t>
      </w:r>
      <w:r w:rsidRPr="00072064">
        <w:rPr>
          <w:rFonts w:ascii="Arial" w:hAnsi="Arial" w:cs="Arial"/>
          <w:sz w:val="24"/>
          <w:szCs w:val="24"/>
        </w:rPr>
        <w:t xml:space="preserve">ollege </w:t>
      </w:r>
      <w:r>
        <w:rPr>
          <w:rFonts w:ascii="Arial" w:hAnsi="Arial" w:cs="Arial"/>
          <w:sz w:val="24"/>
          <w:szCs w:val="24"/>
        </w:rPr>
        <w:t>s</w:t>
      </w:r>
      <w:r w:rsidRPr="00072064">
        <w:rPr>
          <w:rFonts w:ascii="Arial" w:hAnsi="Arial" w:cs="Arial"/>
          <w:sz w:val="24"/>
          <w:szCs w:val="24"/>
        </w:rPr>
        <w:t>ub</w:t>
      </w:r>
      <w:r>
        <w:rPr>
          <w:rFonts w:ascii="Arial" w:hAnsi="Arial" w:cs="Arial"/>
          <w:sz w:val="24"/>
          <w:szCs w:val="24"/>
        </w:rPr>
        <w:noBreakHyphen/>
      </w:r>
      <w:r w:rsidRPr="00072064">
        <w:rPr>
          <w:rFonts w:ascii="Arial" w:hAnsi="Arial" w:cs="Arial"/>
          <w:sz w:val="24"/>
          <w:szCs w:val="24"/>
        </w:rPr>
        <w:t>contractors. This policy sets out how Lincoln College will charge management fees to sub</w:t>
      </w:r>
      <w:r>
        <w:rPr>
          <w:rFonts w:ascii="Arial" w:hAnsi="Arial" w:cs="Arial"/>
          <w:sz w:val="24"/>
          <w:szCs w:val="24"/>
        </w:rPr>
        <w:t>-</w:t>
      </w:r>
      <w:r w:rsidRPr="00072064">
        <w:rPr>
          <w:rFonts w:ascii="Arial" w:hAnsi="Arial" w:cs="Arial"/>
          <w:sz w:val="24"/>
          <w:szCs w:val="24"/>
        </w:rPr>
        <w:t>contractors.</w:t>
      </w:r>
    </w:p>
    <w:p w:rsidR="00885103" w:rsidRPr="00072064" w:rsidRDefault="00072064">
      <w:pPr>
        <w:pStyle w:val="Heading1"/>
        <w:tabs>
          <w:tab w:val="center" w:pos="976"/>
        </w:tabs>
        <w:ind w:left="0"/>
        <w:rPr>
          <w:rFonts w:ascii="Arial" w:hAnsi="Arial" w:cs="Arial"/>
          <w:sz w:val="24"/>
          <w:szCs w:val="24"/>
        </w:rPr>
      </w:pPr>
      <w:bookmarkStart w:id="2" w:name="_Toc16473"/>
      <w:r w:rsidRPr="00072064">
        <w:rPr>
          <w:rFonts w:ascii="Arial" w:hAnsi="Arial" w:cs="Arial"/>
          <w:sz w:val="24"/>
          <w:szCs w:val="24"/>
        </w:rPr>
        <w:t>2</w:t>
      </w:r>
      <w:r w:rsidRPr="00072064">
        <w:rPr>
          <w:rFonts w:ascii="Arial" w:hAnsi="Arial" w:cs="Arial"/>
          <w:sz w:val="24"/>
          <w:szCs w:val="24"/>
        </w:rPr>
        <w:tab/>
      </w:r>
      <w:r w:rsidRPr="00072064">
        <w:rPr>
          <w:rFonts w:ascii="Arial" w:hAnsi="Arial" w:cs="Arial"/>
          <w:b/>
          <w:sz w:val="24"/>
          <w:szCs w:val="24"/>
        </w:rPr>
        <w:t>AIM</w:t>
      </w:r>
      <w:bookmarkEnd w:id="2"/>
    </w:p>
    <w:p w:rsidR="00885103" w:rsidRPr="00072064" w:rsidRDefault="00072064">
      <w:pPr>
        <w:spacing w:after="321"/>
        <w:ind w:left="788" w:right="7"/>
        <w:rPr>
          <w:rFonts w:ascii="Arial" w:hAnsi="Arial" w:cs="Arial"/>
          <w:sz w:val="24"/>
          <w:szCs w:val="24"/>
        </w:rPr>
      </w:pPr>
      <w:r w:rsidRPr="00072064">
        <w:rPr>
          <w:rFonts w:ascii="Arial" w:hAnsi="Arial" w:cs="Arial"/>
          <w:sz w:val="24"/>
          <w:szCs w:val="24"/>
        </w:rPr>
        <w:t>To set out the supply chain fees and charges that Lincol</w:t>
      </w:r>
      <w:r>
        <w:rPr>
          <w:rFonts w:ascii="Arial" w:hAnsi="Arial" w:cs="Arial"/>
          <w:sz w:val="24"/>
          <w:szCs w:val="24"/>
        </w:rPr>
        <w:t>n College charges its external s</w:t>
      </w:r>
      <w:r w:rsidRPr="00072064">
        <w:rPr>
          <w:rFonts w:ascii="Arial" w:hAnsi="Arial" w:cs="Arial"/>
          <w:sz w:val="24"/>
          <w:szCs w:val="24"/>
        </w:rPr>
        <w:t>ub</w:t>
      </w:r>
      <w:r>
        <w:rPr>
          <w:rFonts w:ascii="Arial" w:hAnsi="Arial" w:cs="Arial"/>
          <w:sz w:val="24"/>
          <w:szCs w:val="24"/>
        </w:rPr>
        <w:t>-</w:t>
      </w:r>
      <w:r w:rsidRPr="00072064">
        <w:rPr>
          <w:rFonts w:ascii="Arial" w:hAnsi="Arial" w:cs="Arial"/>
          <w:sz w:val="24"/>
          <w:szCs w:val="24"/>
        </w:rPr>
        <w:t>contractors. Whilst the rates identified will apply in the majority of cases as described, the college reserves the right to adjust rates in accordance with (1) market conditions and (2) the support required by individual sub</w:t>
      </w:r>
      <w:r w:rsidR="00016D5B">
        <w:rPr>
          <w:rFonts w:ascii="Arial" w:hAnsi="Arial" w:cs="Arial"/>
          <w:sz w:val="24"/>
          <w:szCs w:val="24"/>
        </w:rPr>
        <w:noBreakHyphen/>
      </w:r>
      <w:r w:rsidRPr="00072064">
        <w:rPr>
          <w:rFonts w:ascii="Arial" w:hAnsi="Arial" w:cs="Arial"/>
          <w:sz w:val="24"/>
          <w:szCs w:val="24"/>
        </w:rPr>
        <w:t>contractors coupled with the risk factors involved. The Managing Director (Education and Training Delivery) can revise the fee rate according to the risk factors concerned.</w:t>
      </w:r>
    </w:p>
    <w:p w:rsidR="00885103" w:rsidRPr="00016D5B" w:rsidRDefault="00072064">
      <w:pPr>
        <w:pStyle w:val="Heading1"/>
        <w:tabs>
          <w:tab w:val="center" w:pos="1668"/>
        </w:tabs>
        <w:spacing w:after="235"/>
        <w:ind w:left="0"/>
        <w:rPr>
          <w:rFonts w:ascii="Arial" w:hAnsi="Arial" w:cs="Arial"/>
          <w:b/>
          <w:sz w:val="24"/>
          <w:szCs w:val="24"/>
        </w:rPr>
      </w:pPr>
      <w:bookmarkStart w:id="3" w:name="_Toc16474"/>
      <w:r w:rsidRPr="00072064">
        <w:rPr>
          <w:rFonts w:ascii="Arial" w:hAnsi="Arial" w:cs="Arial"/>
          <w:sz w:val="24"/>
          <w:szCs w:val="24"/>
        </w:rPr>
        <w:t>3</w:t>
      </w:r>
      <w:r w:rsidRPr="00072064">
        <w:rPr>
          <w:rFonts w:ascii="Arial" w:hAnsi="Arial" w:cs="Arial"/>
          <w:sz w:val="24"/>
          <w:szCs w:val="24"/>
        </w:rPr>
        <w:tab/>
      </w:r>
      <w:r w:rsidRPr="00016D5B">
        <w:rPr>
          <w:rFonts w:ascii="Arial" w:hAnsi="Arial" w:cs="Arial"/>
          <w:b/>
          <w:sz w:val="24"/>
          <w:szCs w:val="24"/>
        </w:rPr>
        <w:t>INTRODUCTION</w:t>
      </w:r>
      <w:bookmarkEnd w:id="3"/>
    </w:p>
    <w:p w:rsidR="00885103" w:rsidRPr="00072064" w:rsidRDefault="00072064">
      <w:pPr>
        <w:spacing w:after="235"/>
        <w:ind w:left="788" w:right="7"/>
        <w:rPr>
          <w:rFonts w:ascii="Arial" w:hAnsi="Arial" w:cs="Arial"/>
          <w:sz w:val="24"/>
          <w:szCs w:val="24"/>
        </w:rPr>
      </w:pPr>
      <w:r w:rsidRPr="00072064">
        <w:rPr>
          <w:rFonts w:ascii="Arial" w:hAnsi="Arial" w:cs="Arial"/>
          <w:sz w:val="24"/>
          <w:szCs w:val="24"/>
        </w:rPr>
        <w:t>From time to time Lincoln College engages with external sub</w:t>
      </w:r>
      <w:r w:rsidR="00016D5B">
        <w:rPr>
          <w:rFonts w:ascii="Arial" w:hAnsi="Arial" w:cs="Arial"/>
          <w:sz w:val="24"/>
          <w:szCs w:val="24"/>
        </w:rPr>
        <w:t>-</w:t>
      </w:r>
      <w:r w:rsidRPr="00072064">
        <w:rPr>
          <w:rFonts w:ascii="Arial" w:hAnsi="Arial" w:cs="Arial"/>
          <w:sz w:val="24"/>
          <w:szCs w:val="24"/>
        </w:rPr>
        <w:t>contractors to deliver the Adult Single Budget allocated to the College by the Education and Ski</w:t>
      </w:r>
      <w:r w:rsidR="001F08EA">
        <w:rPr>
          <w:rFonts w:ascii="Arial" w:hAnsi="Arial" w:cs="Arial"/>
          <w:sz w:val="24"/>
          <w:szCs w:val="24"/>
        </w:rPr>
        <w:t>lls Funding Agency (ESFA). The C</w:t>
      </w:r>
      <w:r w:rsidRPr="00072064">
        <w:rPr>
          <w:rFonts w:ascii="Arial" w:hAnsi="Arial" w:cs="Arial"/>
          <w:sz w:val="24"/>
          <w:szCs w:val="24"/>
        </w:rPr>
        <w:t xml:space="preserve">ollege reviews its contractors on a yearly basis and undertakes robust due diligence and monitoring procedures which </w:t>
      </w:r>
      <w:r w:rsidR="001F08EA">
        <w:rPr>
          <w:rFonts w:ascii="Arial" w:hAnsi="Arial" w:cs="Arial"/>
          <w:sz w:val="24"/>
          <w:szCs w:val="24"/>
        </w:rPr>
        <w:t>is evidenced and justifies the C</w:t>
      </w:r>
      <w:r w:rsidRPr="00072064">
        <w:rPr>
          <w:rFonts w:ascii="Arial" w:hAnsi="Arial" w:cs="Arial"/>
          <w:sz w:val="24"/>
          <w:szCs w:val="24"/>
        </w:rPr>
        <w:t xml:space="preserve">ollege's </w:t>
      </w:r>
      <w:r w:rsidR="001F08EA">
        <w:rPr>
          <w:rFonts w:ascii="Arial" w:hAnsi="Arial" w:cs="Arial"/>
          <w:sz w:val="24"/>
          <w:szCs w:val="24"/>
        </w:rPr>
        <w:t>M</w:t>
      </w:r>
      <w:r w:rsidRPr="00072064">
        <w:rPr>
          <w:rFonts w:ascii="Arial" w:hAnsi="Arial" w:cs="Arial"/>
          <w:sz w:val="24"/>
          <w:szCs w:val="24"/>
        </w:rPr>
        <w:t xml:space="preserve">anagement </w:t>
      </w:r>
      <w:r w:rsidR="001F08EA">
        <w:rPr>
          <w:rFonts w:ascii="Arial" w:hAnsi="Arial" w:cs="Arial"/>
          <w:sz w:val="24"/>
          <w:szCs w:val="24"/>
        </w:rPr>
        <w:t>F</w:t>
      </w:r>
      <w:r w:rsidRPr="00072064">
        <w:rPr>
          <w:rFonts w:ascii="Arial" w:hAnsi="Arial" w:cs="Arial"/>
          <w:sz w:val="24"/>
          <w:szCs w:val="24"/>
        </w:rPr>
        <w:t>ee.</w:t>
      </w:r>
    </w:p>
    <w:p w:rsidR="00885103" w:rsidRDefault="00072064" w:rsidP="001F08EA">
      <w:pPr>
        <w:spacing w:after="0" w:line="240" w:lineRule="auto"/>
        <w:ind w:left="788" w:right="7"/>
        <w:rPr>
          <w:rFonts w:ascii="Arial" w:hAnsi="Arial" w:cs="Arial"/>
          <w:sz w:val="24"/>
          <w:szCs w:val="24"/>
        </w:rPr>
      </w:pPr>
      <w:r w:rsidRPr="00072064">
        <w:rPr>
          <w:rFonts w:ascii="Arial" w:hAnsi="Arial" w:cs="Arial"/>
          <w:sz w:val="24"/>
          <w:szCs w:val="24"/>
        </w:rPr>
        <w:t>There is a greater level of risk attached to sub</w:t>
      </w:r>
      <w:r w:rsidR="001F08EA">
        <w:rPr>
          <w:rFonts w:ascii="Arial" w:hAnsi="Arial" w:cs="Arial"/>
          <w:sz w:val="24"/>
          <w:szCs w:val="24"/>
        </w:rPr>
        <w:t>-</w:t>
      </w:r>
      <w:r w:rsidRPr="00072064">
        <w:rPr>
          <w:rFonts w:ascii="Arial" w:hAnsi="Arial" w:cs="Arial"/>
          <w:sz w:val="24"/>
          <w:szCs w:val="24"/>
        </w:rPr>
        <w:t xml:space="preserve">contractors in the delivery of apprenticeships. This requires higher levels of monitoring to ensure that success rates and quality is maintained to the </w:t>
      </w:r>
      <w:r w:rsidR="001F08EA">
        <w:rPr>
          <w:rFonts w:ascii="Arial" w:hAnsi="Arial" w:cs="Arial"/>
          <w:sz w:val="24"/>
          <w:szCs w:val="24"/>
        </w:rPr>
        <w:t>C</w:t>
      </w:r>
      <w:r w:rsidRPr="00072064">
        <w:rPr>
          <w:rFonts w:ascii="Arial" w:hAnsi="Arial" w:cs="Arial"/>
          <w:sz w:val="24"/>
          <w:szCs w:val="24"/>
        </w:rPr>
        <w:t>ollege's standards. To mitigate the risks relating to new sub</w:t>
      </w:r>
      <w:r w:rsidR="001F08EA">
        <w:rPr>
          <w:rFonts w:ascii="Arial" w:hAnsi="Arial" w:cs="Arial"/>
          <w:sz w:val="24"/>
          <w:szCs w:val="24"/>
        </w:rPr>
        <w:t>-contractors, the C</w:t>
      </w:r>
      <w:r w:rsidRPr="00072064">
        <w:rPr>
          <w:rFonts w:ascii="Arial" w:hAnsi="Arial" w:cs="Arial"/>
          <w:sz w:val="24"/>
          <w:szCs w:val="24"/>
        </w:rPr>
        <w:t>ollege us</w:t>
      </w:r>
      <w:r w:rsidR="001F08EA">
        <w:rPr>
          <w:rFonts w:ascii="Arial" w:hAnsi="Arial" w:cs="Arial"/>
          <w:sz w:val="24"/>
          <w:szCs w:val="24"/>
        </w:rPr>
        <w:t>es a fixed scale of M</w:t>
      </w:r>
      <w:r w:rsidRPr="00072064">
        <w:rPr>
          <w:rFonts w:ascii="Arial" w:hAnsi="Arial" w:cs="Arial"/>
          <w:sz w:val="24"/>
          <w:szCs w:val="24"/>
        </w:rPr>
        <w:t xml:space="preserve">anagement </w:t>
      </w:r>
      <w:r w:rsidR="001F08EA">
        <w:rPr>
          <w:rFonts w:ascii="Arial" w:hAnsi="Arial" w:cs="Arial"/>
          <w:sz w:val="24"/>
          <w:szCs w:val="24"/>
        </w:rPr>
        <w:t>F</w:t>
      </w:r>
      <w:r w:rsidRPr="00072064">
        <w:rPr>
          <w:rFonts w:ascii="Arial" w:hAnsi="Arial" w:cs="Arial"/>
          <w:sz w:val="24"/>
          <w:szCs w:val="24"/>
        </w:rPr>
        <w:t>ees to be levied for the delivery of Apprenticeships, Work Place Learning and Classroom Based Learning, dependent upon the experience, quality and financial strength of the sub</w:t>
      </w:r>
      <w:r w:rsidR="001F08EA">
        <w:rPr>
          <w:rFonts w:ascii="Arial" w:hAnsi="Arial" w:cs="Arial"/>
          <w:sz w:val="24"/>
          <w:szCs w:val="24"/>
        </w:rPr>
        <w:t>-</w:t>
      </w:r>
      <w:r w:rsidRPr="00072064">
        <w:rPr>
          <w:rFonts w:ascii="Arial" w:hAnsi="Arial" w:cs="Arial"/>
          <w:sz w:val="24"/>
          <w:szCs w:val="24"/>
        </w:rPr>
        <w:t>contractor. This is outlined in the tables below.</w:t>
      </w:r>
    </w:p>
    <w:p w:rsidR="001F08EA" w:rsidRPr="00072064" w:rsidRDefault="001F08EA" w:rsidP="001F08EA">
      <w:pPr>
        <w:spacing w:after="0" w:line="240" w:lineRule="auto"/>
        <w:ind w:left="788" w:right="7"/>
        <w:rPr>
          <w:rFonts w:ascii="Arial" w:hAnsi="Arial" w:cs="Arial"/>
          <w:sz w:val="24"/>
          <w:szCs w:val="24"/>
        </w:rPr>
      </w:pPr>
    </w:p>
    <w:p w:rsidR="00885103" w:rsidRDefault="00072064" w:rsidP="001F08EA">
      <w:pPr>
        <w:tabs>
          <w:tab w:val="center" w:pos="2593"/>
        </w:tabs>
        <w:spacing w:after="0" w:line="240" w:lineRule="auto"/>
        <w:ind w:left="0" w:firstLine="0"/>
        <w:jc w:val="left"/>
        <w:rPr>
          <w:rFonts w:ascii="Arial" w:hAnsi="Arial" w:cs="Arial"/>
          <w:b/>
          <w:sz w:val="24"/>
          <w:szCs w:val="24"/>
        </w:rPr>
      </w:pPr>
      <w:r w:rsidRPr="00072064">
        <w:rPr>
          <w:rFonts w:ascii="Arial" w:hAnsi="Arial" w:cs="Arial"/>
          <w:sz w:val="24"/>
          <w:szCs w:val="24"/>
        </w:rPr>
        <w:t>4</w:t>
      </w:r>
      <w:r w:rsidRPr="00072064">
        <w:rPr>
          <w:rFonts w:ascii="Arial" w:hAnsi="Arial" w:cs="Arial"/>
          <w:sz w:val="24"/>
          <w:szCs w:val="24"/>
        </w:rPr>
        <w:tab/>
      </w:r>
      <w:r w:rsidRPr="001F08EA">
        <w:rPr>
          <w:rFonts w:ascii="Arial" w:hAnsi="Arial" w:cs="Arial"/>
          <w:b/>
          <w:sz w:val="24"/>
          <w:szCs w:val="24"/>
        </w:rPr>
        <w:t>SUB</w:t>
      </w:r>
      <w:r w:rsidR="001F08EA">
        <w:rPr>
          <w:rFonts w:ascii="Arial" w:hAnsi="Arial" w:cs="Arial"/>
          <w:b/>
          <w:sz w:val="24"/>
          <w:szCs w:val="24"/>
        </w:rPr>
        <w:t>-</w:t>
      </w:r>
      <w:r w:rsidRPr="001F08EA">
        <w:rPr>
          <w:rFonts w:ascii="Arial" w:hAnsi="Arial" w:cs="Arial"/>
          <w:b/>
          <w:sz w:val="24"/>
          <w:szCs w:val="24"/>
        </w:rPr>
        <w:t>CONTRACTING RATIONALE</w:t>
      </w:r>
    </w:p>
    <w:p w:rsidR="001F08EA" w:rsidRPr="00072064" w:rsidRDefault="001F08EA" w:rsidP="001F08EA">
      <w:pPr>
        <w:tabs>
          <w:tab w:val="center" w:pos="2593"/>
        </w:tabs>
        <w:spacing w:after="0" w:line="240" w:lineRule="auto"/>
        <w:ind w:left="0" w:firstLine="0"/>
        <w:jc w:val="left"/>
        <w:rPr>
          <w:rFonts w:ascii="Arial" w:hAnsi="Arial" w:cs="Arial"/>
          <w:sz w:val="24"/>
          <w:szCs w:val="24"/>
        </w:rPr>
      </w:pPr>
    </w:p>
    <w:p w:rsidR="00885103" w:rsidRDefault="001F08EA" w:rsidP="001F08EA">
      <w:pPr>
        <w:spacing w:after="0" w:line="240" w:lineRule="auto"/>
        <w:ind w:left="723" w:right="7"/>
        <w:rPr>
          <w:rFonts w:ascii="Arial" w:hAnsi="Arial" w:cs="Arial"/>
          <w:sz w:val="24"/>
          <w:szCs w:val="24"/>
        </w:rPr>
      </w:pPr>
      <w:r>
        <w:rPr>
          <w:rFonts w:ascii="Arial" w:hAnsi="Arial" w:cs="Arial"/>
          <w:sz w:val="24"/>
          <w:szCs w:val="24"/>
        </w:rPr>
        <w:t>The C</w:t>
      </w:r>
      <w:r w:rsidR="00072064" w:rsidRPr="00072064">
        <w:rPr>
          <w:rFonts w:ascii="Arial" w:hAnsi="Arial" w:cs="Arial"/>
          <w:sz w:val="24"/>
          <w:szCs w:val="24"/>
        </w:rPr>
        <w:t>ollege</w:t>
      </w:r>
      <w:r>
        <w:rPr>
          <w:rFonts w:ascii="Arial" w:hAnsi="Arial" w:cs="Arial"/>
          <w:sz w:val="24"/>
          <w:szCs w:val="24"/>
        </w:rPr>
        <w:t xml:space="preserve"> engages with sub-contractors to:</w:t>
      </w:r>
    </w:p>
    <w:p w:rsidR="001F08EA" w:rsidRPr="00072064" w:rsidRDefault="001F08EA" w:rsidP="001F08EA">
      <w:pPr>
        <w:spacing w:after="0" w:line="240" w:lineRule="auto"/>
        <w:ind w:left="723" w:right="7"/>
        <w:rPr>
          <w:rFonts w:ascii="Arial" w:hAnsi="Arial" w:cs="Arial"/>
          <w:sz w:val="24"/>
          <w:szCs w:val="24"/>
        </w:rPr>
      </w:pPr>
    </w:p>
    <w:p w:rsidR="00885103" w:rsidRPr="00072064"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Better meet our customer needs.</w:t>
      </w:r>
    </w:p>
    <w:p w:rsidR="00885103" w:rsidRPr="00072064" w:rsidRDefault="001F08EA" w:rsidP="001F08EA">
      <w:pPr>
        <w:numPr>
          <w:ilvl w:val="0"/>
          <w:numId w:val="4"/>
        </w:numPr>
        <w:spacing w:after="0" w:line="240" w:lineRule="auto"/>
        <w:ind w:left="1134" w:right="6" w:hanging="369"/>
        <w:rPr>
          <w:rFonts w:ascii="Arial" w:hAnsi="Arial" w:cs="Arial"/>
          <w:sz w:val="24"/>
          <w:szCs w:val="24"/>
        </w:rPr>
      </w:pPr>
      <w:r>
        <w:rPr>
          <w:rFonts w:ascii="Arial" w:hAnsi="Arial" w:cs="Arial"/>
          <w:sz w:val="24"/>
          <w:szCs w:val="24"/>
        </w:rPr>
        <w:t>Contribute to the C</w:t>
      </w:r>
      <w:r w:rsidR="00072064" w:rsidRPr="00072064">
        <w:rPr>
          <w:rFonts w:ascii="Arial" w:hAnsi="Arial" w:cs="Arial"/>
          <w:sz w:val="24"/>
          <w:szCs w:val="24"/>
        </w:rPr>
        <w:t>ollege's mission and to widen participation.</w:t>
      </w:r>
    </w:p>
    <w:p w:rsidR="00885103" w:rsidRPr="00072064"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Directly support the achievement of national and local priorities for learning and skills.</w:t>
      </w:r>
    </w:p>
    <w:p w:rsidR="00885103" w:rsidRPr="00072064"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Temporarily expand provision to meet a short term need.</w:t>
      </w:r>
    </w:p>
    <w:p w:rsidR="00885103" w:rsidRPr="00072064"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Provide access to, or engagement with, a new range of customers. Support another p</w:t>
      </w:r>
      <w:r w:rsidR="001F08EA">
        <w:rPr>
          <w:rFonts w:ascii="Arial" w:hAnsi="Arial" w:cs="Arial"/>
          <w:sz w:val="24"/>
          <w:szCs w:val="24"/>
        </w:rPr>
        <w:t>rovider to develop capacity/qual</w:t>
      </w:r>
      <w:r w:rsidRPr="00072064">
        <w:rPr>
          <w:rFonts w:ascii="Arial" w:hAnsi="Arial" w:cs="Arial"/>
          <w:sz w:val="24"/>
          <w:szCs w:val="24"/>
        </w:rPr>
        <w:t>ity.</w:t>
      </w:r>
    </w:p>
    <w:p w:rsidR="00885103" w:rsidRPr="00072064"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Provide niche delivery where the cost of developing direct delivery would be inappropriate.</w:t>
      </w:r>
    </w:p>
    <w:p w:rsidR="00885103" w:rsidRDefault="00072064" w:rsidP="001F08EA">
      <w:pPr>
        <w:numPr>
          <w:ilvl w:val="0"/>
          <w:numId w:val="4"/>
        </w:numPr>
        <w:spacing w:after="0" w:line="240" w:lineRule="auto"/>
        <w:ind w:left="1134" w:right="6" w:hanging="369"/>
        <w:rPr>
          <w:rFonts w:ascii="Arial" w:hAnsi="Arial" w:cs="Arial"/>
          <w:sz w:val="24"/>
          <w:szCs w:val="24"/>
        </w:rPr>
      </w:pPr>
      <w:r w:rsidRPr="00072064">
        <w:rPr>
          <w:rFonts w:ascii="Arial" w:hAnsi="Arial" w:cs="Arial"/>
          <w:sz w:val="24"/>
          <w:szCs w:val="24"/>
        </w:rPr>
        <w:t>Support employers with a wide geographic requirement.</w:t>
      </w:r>
    </w:p>
    <w:p w:rsidR="001F08EA" w:rsidRDefault="001F08EA">
      <w:pPr>
        <w:spacing w:after="160" w:line="259" w:lineRule="auto"/>
        <w:ind w:left="0" w:firstLine="0"/>
        <w:jc w:val="left"/>
        <w:rPr>
          <w:rFonts w:ascii="Arial" w:hAnsi="Arial" w:cs="Arial"/>
          <w:sz w:val="24"/>
          <w:szCs w:val="24"/>
        </w:rPr>
      </w:pPr>
      <w:r>
        <w:rPr>
          <w:rFonts w:ascii="Arial" w:hAnsi="Arial" w:cs="Arial"/>
          <w:sz w:val="24"/>
          <w:szCs w:val="24"/>
        </w:rPr>
        <w:br w:type="page"/>
      </w:r>
    </w:p>
    <w:p w:rsidR="00885103" w:rsidRPr="00072064" w:rsidRDefault="00072064">
      <w:pPr>
        <w:pStyle w:val="Heading1"/>
        <w:tabs>
          <w:tab w:val="center" w:pos="2147"/>
        </w:tabs>
        <w:spacing w:after="147" w:line="265" w:lineRule="auto"/>
        <w:ind w:left="0"/>
        <w:rPr>
          <w:rFonts w:ascii="Arial" w:hAnsi="Arial" w:cs="Arial"/>
          <w:sz w:val="24"/>
          <w:szCs w:val="24"/>
        </w:rPr>
      </w:pPr>
      <w:bookmarkStart w:id="4" w:name="_Toc16475"/>
      <w:r w:rsidRPr="00072064">
        <w:rPr>
          <w:rFonts w:ascii="Arial" w:hAnsi="Arial" w:cs="Arial"/>
          <w:sz w:val="24"/>
          <w:szCs w:val="24"/>
        </w:rPr>
        <w:lastRenderedPageBreak/>
        <w:t>5</w:t>
      </w:r>
      <w:r w:rsidRPr="00072064">
        <w:rPr>
          <w:rFonts w:ascii="Arial" w:hAnsi="Arial" w:cs="Arial"/>
          <w:sz w:val="24"/>
          <w:szCs w:val="24"/>
        </w:rPr>
        <w:tab/>
      </w:r>
      <w:r w:rsidRPr="001F08EA">
        <w:rPr>
          <w:rFonts w:ascii="Arial" w:hAnsi="Arial" w:cs="Arial"/>
          <w:b/>
          <w:sz w:val="24"/>
          <w:szCs w:val="24"/>
        </w:rPr>
        <w:t>FEES AND MONITORING</w:t>
      </w:r>
      <w:bookmarkEnd w:id="4"/>
    </w:p>
    <w:p w:rsidR="00072064" w:rsidRDefault="00072064" w:rsidP="00072064">
      <w:pPr>
        <w:spacing w:after="0" w:line="259" w:lineRule="auto"/>
        <w:ind w:left="723" w:hanging="10"/>
        <w:jc w:val="left"/>
        <w:rPr>
          <w:rFonts w:ascii="Arial" w:hAnsi="Arial" w:cs="Arial"/>
          <w:b/>
          <w:sz w:val="24"/>
          <w:szCs w:val="24"/>
        </w:rPr>
      </w:pPr>
      <w:r w:rsidRPr="00072064">
        <w:rPr>
          <w:rFonts w:ascii="Arial" w:hAnsi="Arial" w:cs="Arial"/>
          <w:b/>
          <w:sz w:val="24"/>
          <w:szCs w:val="24"/>
        </w:rPr>
        <w:t>Table 1</w:t>
      </w:r>
      <w:r w:rsidR="001F08EA">
        <w:rPr>
          <w:rFonts w:ascii="Arial" w:hAnsi="Arial" w:cs="Arial"/>
          <w:b/>
          <w:sz w:val="24"/>
          <w:szCs w:val="24"/>
        </w:rPr>
        <w:t xml:space="preserve"> – Apprenticeships</w:t>
      </w:r>
    </w:p>
    <w:p w:rsidR="001F08EA" w:rsidRPr="00072064" w:rsidRDefault="001F08EA" w:rsidP="00072064">
      <w:pPr>
        <w:spacing w:after="0" w:line="259" w:lineRule="auto"/>
        <w:ind w:left="723" w:hanging="10"/>
        <w:jc w:val="left"/>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721"/>
        <w:gridCol w:w="1903"/>
        <w:gridCol w:w="1513"/>
      </w:tblGrid>
      <w:tr w:rsidR="00072064" w:rsidRPr="001F08EA" w:rsidTr="001F08EA">
        <w:tc>
          <w:tcPr>
            <w:tcW w:w="1127" w:type="dxa"/>
            <w:shd w:val="clear" w:color="auto" w:fill="auto"/>
          </w:tcPr>
          <w:p w:rsidR="00072064" w:rsidRPr="001F08EA" w:rsidRDefault="00072064" w:rsidP="00072064">
            <w:pPr>
              <w:spacing w:after="0" w:line="259" w:lineRule="auto"/>
              <w:ind w:left="67" w:hanging="10"/>
              <w:jc w:val="left"/>
              <w:rPr>
                <w:rFonts w:ascii="Arial" w:hAnsi="Arial" w:cs="Arial"/>
                <w:b/>
                <w:sz w:val="24"/>
                <w:szCs w:val="24"/>
              </w:rPr>
            </w:pPr>
          </w:p>
        </w:tc>
        <w:tc>
          <w:tcPr>
            <w:tcW w:w="3721" w:type="dxa"/>
            <w:shd w:val="clear" w:color="auto" w:fill="auto"/>
          </w:tcPr>
          <w:p w:rsidR="00072064" w:rsidRPr="001F08EA" w:rsidRDefault="001F08EA" w:rsidP="00072064">
            <w:pPr>
              <w:spacing w:after="0" w:line="259" w:lineRule="auto"/>
              <w:ind w:left="67" w:hanging="10"/>
              <w:jc w:val="left"/>
              <w:rPr>
                <w:rFonts w:ascii="Arial" w:hAnsi="Arial" w:cs="Arial"/>
                <w:b/>
                <w:sz w:val="24"/>
                <w:szCs w:val="24"/>
              </w:rPr>
            </w:pPr>
            <w:r w:rsidRPr="001F08EA">
              <w:rPr>
                <w:rFonts w:ascii="Arial" w:hAnsi="Arial" w:cs="Arial"/>
                <w:b/>
                <w:sz w:val="24"/>
                <w:szCs w:val="24"/>
              </w:rPr>
              <w:t>Sub-contractor</w:t>
            </w:r>
            <w:r w:rsidR="00072064" w:rsidRPr="001F08EA">
              <w:rPr>
                <w:rFonts w:ascii="Arial" w:hAnsi="Arial" w:cs="Arial"/>
                <w:b/>
                <w:sz w:val="24"/>
                <w:szCs w:val="24"/>
              </w:rPr>
              <w:t xml:space="preserve"> Type</w:t>
            </w:r>
          </w:p>
        </w:tc>
        <w:tc>
          <w:tcPr>
            <w:tcW w:w="1903" w:type="dxa"/>
            <w:shd w:val="clear" w:color="auto" w:fill="auto"/>
          </w:tcPr>
          <w:p w:rsidR="00072064" w:rsidRDefault="00072064" w:rsidP="00072064">
            <w:pPr>
              <w:spacing w:after="0" w:line="259" w:lineRule="auto"/>
              <w:ind w:left="67" w:hanging="10"/>
              <w:jc w:val="left"/>
              <w:rPr>
                <w:rFonts w:ascii="Arial" w:hAnsi="Arial" w:cs="Arial"/>
                <w:b/>
                <w:sz w:val="24"/>
                <w:szCs w:val="24"/>
              </w:rPr>
            </w:pPr>
            <w:r w:rsidRPr="001F08EA">
              <w:rPr>
                <w:rFonts w:ascii="Arial" w:hAnsi="Arial" w:cs="Arial"/>
                <w:b/>
                <w:sz w:val="24"/>
                <w:szCs w:val="24"/>
              </w:rPr>
              <w:t>Management Fee</w:t>
            </w:r>
          </w:p>
          <w:p w:rsidR="001F08EA" w:rsidRPr="001F08EA" w:rsidRDefault="001F08EA" w:rsidP="00072064">
            <w:pPr>
              <w:spacing w:after="0" w:line="259" w:lineRule="auto"/>
              <w:ind w:left="67" w:hanging="10"/>
              <w:jc w:val="left"/>
              <w:rPr>
                <w:rFonts w:ascii="Arial" w:hAnsi="Arial" w:cs="Arial"/>
                <w:sz w:val="22"/>
                <w:szCs w:val="24"/>
              </w:rPr>
            </w:pPr>
            <w:r w:rsidRPr="001F08EA">
              <w:rPr>
                <w:rFonts w:ascii="Arial" w:hAnsi="Arial" w:cs="Arial"/>
                <w:sz w:val="20"/>
                <w:szCs w:val="24"/>
              </w:rPr>
              <w:t>(performance related incentives may apply)</w:t>
            </w:r>
          </w:p>
        </w:tc>
        <w:tc>
          <w:tcPr>
            <w:tcW w:w="1513" w:type="dxa"/>
            <w:shd w:val="clear" w:color="auto" w:fill="auto"/>
          </w:tcPr>
          <w:p w:rsidR="00072064" w:rsidRDefault="00072064" w:rsidP="00072064">
            <w:pPr>
              <w:spacing w:after="0" w:line="259" w:lineRule="auto"/>
              <w:ind w:left="67" w:hanging="10"/>
              <w:jc w:val="left"/>
              <w:rPr>
                <w:rFonts w:ascii="Arial" w:hAnsi="Arial" w:cs="Arial"/>
                <w:b/>
                <w:sz w:val="24"/>
                <w:szCs w:val="24"/>
              </w:rPr>
            </w:pPr>
            <w:r w:rsidRPr="001F08EA">
              <w:rPr>
                <w:rFonts w:ascii="Arial" w:hAnsi="Arial" w:cs="Arial"/>
                <w:b/>
                <w:sz w:val="24"/>
                <w:szCs w:val="24"/>
              </w:rPr>
              <w:t>Monitoring Visits</w:t>
            </w:r>
          </w:p>
          <w:p w:rsidR="001F08EA" w:rsidRPr="001F08EA" w:rsidRDefault="001F08EA" w:rsidP="00072064">
            <w:pPr>
              <w:spacing w:after="0" w:line="259" w:lineRule="auto"/>
              <w:ind w:left="67" w:hanging="10"/>
              <w:jc w:val="left"/>
              <w:rPr>
                <w:rFonts w:ascii="Arial" w:hAnsi="Arial" w:cs="Arial"/>
                <w:sz w:val="24"/>
                <w:szCs w:val="24"/>
              </w:rPr>
            </w:pPr>
            <w:r w:rsidRPr="001F08EA">
              <w:rPr>
                <w:rFonts w:ascii="Arial" w:hAnsi="Arial" w:cs="Arial"/>
                <w:sz w:val="20"/>
                <w:szCs w:val="24"/>
              </w:rPr>
              <w:t>(minimum per annum)</w:t>
            </w:r>
          </w:p>
        </w:tc>
      </w:tr>
      <w:tr w:rsidR="00072064" w:rsidRPr="00072064" w:rsidTr="001F08EA">
        <w:tc>
          <w:tcPr>
            <w:tcW w:w="1127" w:type="dxa"/>
            <w:shd w:val="clear" w:color="auto" w:fill="00FF00"/>
          </w:tcPr>
          <w:p w:rsidR="00072064" w:rsidRPr="00072064" w:rsidRDefault="00072064" w:rsidP="00072064">
            <w:pPr>
              <w:spacing w:after="0" w:line="259" w:lineRule="auto"/>
              <w:ind w:left="67" w:hanging="10"/>
              <w:jc w:val="left"/>
              <w:rPr>
                <w:rFonts w:ascii="Arial" w:hAnsi="Arial" w:cs="Arial"/>
                <w:sz w:val="24"/>
                <w:szCs w:val="24"/>
              </w:rPr>
            </w:pPr>
            <w:r w:rsidRPr="00072064">
              <w:rPr>
                <w:rFonts w:ascii="Arial" w:hAnsi="Arial" w:cs="Arial"/>
                <w:sz w:val="24"/>
                <w:szCs w:val="24"/>
              </w:rPr>
              <w:t xml:space="preserve">Low Risk </w:t>
            </w:r>
          </w:p>
        </w:tc>
        <w:tc>
          <w:tcPr>
            <w:tcW w:w="3721" w:type="dxa"/>
            <w:shd w:val="clear" w:color="auto" w:fill="auto"/>
          </w:tcPr>
          <w:p w:rsidR="00072064" w:rsidRPr="00072064" w:rsidRDefault="001F08EA" w:rsidP="00072064">
            <w:pPr>
              <w:spacing w:after="0" w:line="259" w:lineRule="auto"/>
              <w:ind w:left="67" w:hanging="10"/>
              <w:jc w:val="left"/>
              <w:rPr>
                <w:rFonts w:ascii="Arial" w:hAnsi="Arial" w:cs="Arial"/>
                <w:sz w:val="24"/>
                <w:szCs w:val="24"/>
              </w:rPr>
            </w:pPr>
            <w:r w:rsidRPr="00072064">
              <w:rPr>
                <w:rFonts w:ascii="Arial" w:hAnsi="Arial" w:cs="Arial"/>
                <w:sz w:val="24"/>
                <w:szCs w:val="24"/>
              </w:rPr>
              <w:t>Established sub</w:t>
            </w:r>
            <w:r>
              <w:rPr>
                <w:rFonts w:ascii="Arial" w:hAnsi="Arial" w:cs="Arial"/>
                <w:sz w:val="24"/>
                <w:szCs w:val="24"/>
              </w:rPr>
              <w:t>-</w:t>
            </w:r>
            <w:r w:rsidRPr="00072064">
              <w:rPr>
                <w:rFonts w:ascii="Arial" w:hAnsi="Arial" w:cs="Arial"/>
                <w:sz w:val="24"/>
                <w:szCs w:val="24"/>
              </w:rPr>
              <w:t>contractor with experience and successful track record of delive</w:t>
            </w:r>
            <w:r>
              <w:rPr>
                <w:rFonts w:ascii="Arial" w:hAnsi="Arial" w:cs="Arial"/>
                <w:sz w:val="24"/>
                <w:szCs w:val="24"/>
              </w:rPr>
              <w:t>ry</w:t>
            </w:r>
            <w:r w:rsidRPr="00072064">
              <w:rPr>
                <w:rFonts w:ascii="Arial" w:hAnsi="Arial" w:cs="Arial"/>
                <w:sz w:val="24"/>
                <w:szCs w:val="24"/>
              </w:rPr>
              <w:t xml:space="preserve"> in a</w:t>
            </w:r>
            <w:r>
              <w:rPr>
                <w:rFonts w:ascii="Arial" w:hAnsi="Arial" w:cs="Arial"/>
                <w:sz w:val="24"/>
                <w:szCs w:val="24"/>
              </w:rPr>
              <w:t>pp</w:t>
            </w:r>
            <w:r w:rsidRPr="00072064">
              <w:rPr>
                <w:rFonts w:ascii="Arial" w:hAnsi="Arial" w:cs="Arial"/>
                <w:sz w:val="24"/>
                <w:szCs w:val="24"/>
              </w:rPr>
              <w:t>renticeships</w:t>
            </w:r>
          </w:p>
        </w:tc>
        <w:tc>
          <w:tcPr>
            <w:tcW w:w="190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p>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15%</w:t>
            </w:r>
          </w:p>
        </w:tc>
        <w:tc>
          <w:tcPr>
            <w:tcW w:w="151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p>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1</w:t>
            </w:r>
          </w:p>
        </w:tc>
      </w:tr>
      <w:tr w:rsidR="00072064" w:rsidRPr="00072064" w:rsidTr="001F08EA">
        <w:tc>
          <w:tcPr>
            <w:tcW w:w="1127" w:type="dxa"/>
            <w:shd w:val="clear" w:color="auto" w:fill="FFCC00"/>
          </w:tcPr>
          <w:p w:rsidR="00072064" w:rsidRPr="00072064" w:rsidRDefault="00072064" w:rsidP="00072064">
            <w:pPr>
              <w:spacing w:after="0" w:line="259" w:lineRule="auto"/>
              <w:ind w:left="67" w:hanging="10"/>
              <w:jc w:val="left"/>
              <w:rPr>
                <w:rFonts w:ascii="Arial" w:hAnsi="Arial" w:cs="Arial"/>
                <w:sz w:val="24"/>
                <w:szCs w:val="24"/>
              </w:rPr>
            </w:pPr>
            <w:r w:rsidRPr="00072064">
              <w:rPr>
                <w:rFonts w:ascii="Arial" w:hAnsi="Arial" w:cs="Arial"/>
                <w:sz w:val="24"/>
                <w:szCs w:val="24"/>
              </w:rPr>
              <w:t xml:space="preserve">Medium Risk </w:t>
            </w:r>
          </w:p>
        </w:tc>
        <w:tc>
          <w:tcPr>
            <w:tcW w:w="3721" w:type="dxa"/>
            <w:shd w:val="clear" w:color="auto" w:fill="auto"/>
          </w:tcPr>
          <w:p w:rsidR="00072064" w:rsidRPr="00072064" w:rsidRDefault="001F08EA" w:rsidP="00072064">
            <w:pPr>
              <w:spacing w:after="0" w:line="259" w:lineRule="auto"/>
              <w:ind w:left="67" w:hanging="10"/>
              <w:jc w:val="left"/>
              <w:rPr>
                <w:rFonts w:ascii="Arial" w:hAnsi="Arial" w:cs="Arial"/>
                <w:sz w:val="24"/>
                <w:szCs w:val="24"/>
              </w:rPr>
            </w:pPr>
            <w:r w:rsidRPr="00072064">
              <w:rPr>
                <w:rFonts w:ascii="Arial" w:hAnsi="Arial" w:cs="Arial"/>
                <w:sz w:val="24"/>
                <w:szCs w:val="24"/>
              </w:rPr>
              <w:t>Experienced sub</w:t>
            </w:r>
            <w:r>
              <w:rPr>
                <w:rFonts w:ascii="Arial" w:hAnsi="Arial" w:cs="Arial"/>
                <w:sz w:val="24"/>
                <w:szCs w:val="24"/>
              </w:rPr>
              <w:t>-</w:t>
            </w:r>
            <w:r w:rsidRPr="00072064">
              <w:rPr>
                <w:rFonts w:ascii="Arial" w:hAnsi="Arial" w:cs="Arial"/>
                <w:sz w:val="24"/>
                <w:szCs w:val="24"/>
              </w:rPr>
              <w:t xml:space="preserve">contractor in the delivery of apprenticeships with track record of success </w:t>
            </w:r>
          </w:p>
        </w:tc>
        <w:tc>
          <w:tcPr>
            <w:tcW w:w="190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p>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17.5%</w:t>
            </w:r>
          </w:p>
        </w:tc>
        <w:tc>
          <w:tcPr>
            <w:tcW w:w="151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p>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2</w:t>
            </w:r>
          </w:p>
        </w:tc>
      </w:tr>
      <w:tr w:rsidR="00072064" w:rsidRPr="00072064" w:rsidTr="001F08EA">
        <w:tc>
          <w:tcPr>
            <w:tcW w:w="1127" w:type="dxa"/>
            <w:shd w:val="clear" w:color="auto" w:fill="FF0000"/>
          </w:tcPr>
          <w:p w:rsidR="00072064" w:rsidRPr="00072064" w:rsidRDefault="00072064" w:rsidP="00072064">
            <w:pPr>
              <w:spacing w:after="0" w:line="259" w:lineRule="auto"/>
              <w:ind w:left="67" w:hanging="10"/>
              <w:jc w:val="left"/>
              <w:rPr>
                <w:rFonts w:ascii="Arial" w:hAnsi="Arial" w:cs="Arial"/>
                <w:sz w:val="24"/>
                <w:szCs w:val="24"/>
              </w:rPr>
            </w:pPr>
            <w:r w:rsidRPr="00072064">
              <w:rPr>
                <w:rFonts w:ascii="Arial" w:hAnsi="Arial" w:cs="Arial"/>
                <w:sz w:val="24"/>
                <w:szCs w:val="24"/>
              </w:rPr>
              <w:t>High Risk</w:t>
            </w:r>
          </w:p>
        </w:tc>
        <w:tc>
          <w:tcPr>
            <w:tcW w:w="3721" w:type="dxa"/>
            <w:shd w:val="clear" w:color="auto" w:fill="auto"/>
          </w:tcPr>
          <w:p w:rsidR="00072064" w:rsidRPr="00072064" w:rsidRDefault="00072064" w:rsidP="00A57C79">
            <w:pPr>
              <w:spacing w:after="0" w:line="259" w:lineRule="auto"/>
              <w:ind w:left="67" w:hanging="10"/>
              <w:jc w:val="left"/>
              <w:rPr>
                <w:rFonts w:ascii="Arial" w:hAnsi="Arial" w:cs="Arial"/>
                <w:sz w:val="24"/>
                <w:szCs w:val="24"/>
              </w:rPr>
            </w:pPr>
            <w:r w:rsidRPr="00072064">
              <w:rPr>
                <w:rFonts w:ascii="Arial" w:hAnsi="Arial" w:cs="Arial"/>
                <w:sz w:val="24"/>
                <w:szCs w:val="24"/>
              </w:rPr>
              <w:t>New</w:t>
            </w:r>
            <w:r w:rsidR="001F08EA">
              <w:rPr>
                <w:rFonts w:ascii="Arial" w:hAnsi="Arial" w:cs="Arial"/>
                <w:sz w:val="24"/>
                <w:szCs w:val="24"/>
              </w:rPr>
              <w:t xml:space="preserve"> sub-contractor with no, or limited </w:t>
            </w:r>
            <w:r w:rsidRPr="00072064">
              <w:rPr>
                <w:rFonts w:ascii="Arial" w:hAnsi="Arial" w:cs="Arial"/>
                <w:sz w:val="24"/>
                <w:szCs w:val="24"/>
              </w:rPr>
              <w:t>track record</w:t>
            </w:r>
            <w:r w:rsidR="00A57C79">
              <w:rPr>
                <w:rFonts w:ascii="Arial" w:hAnsi="Arial" w:cs="Arial"/>
                <w:sz w:val="24"/>
                <w:szCs w:val="24"/>
              </w:rPr>
              <w:t xml:space="preserve"> or existing sub-contractor who has failed to meet minimum achievement rates as in their contract for services and Education.</w:t>
            </w:r>
          </w:p>
        </w:tc>
        <w:tc>
          <w:tcPr>
            <w:tcW w:w="190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20%</w:t>
            </w:r>
          </w:p>
        </w:tc>
        <w:tc>
          <w:tcPr>
            <w:tcW w:w="1513" w:type="dxa"/>
            <w:shd w:val="clear" w:color="auto" w:fill="auto"/>
          </w:tcPr>
          <w:p w:rsidR="00072064" w:rsidRPr="00072064" w:rsidRDefault="00072064" w:rsidP="00072064">
            <w:pPr>
              <w:spacing w:after="0" w:line="259" w:lineRule="auto"/>
              <w:ind w:left="723" w:hanging="10"/>
              <w:jc w:val="left"/>
              <w:rPr>
                <w:rFonts w:ascii="Arial" w:hAnsi="Arial" w:cs="Arial"/>
                <w:sz w:val="24"/>
                <w:szCs w:val="24"/>
              </w:rPr>
            </w:pPr>
            <w:r w:rsidRPr="00072064">
              <w:rPr>
                <w:rFonts w:ascii="Arial" w:hAnsi="Arial" w:cs="Arial"/>
                <w:sz w:val="24"/>
                <w:szCs w:val="24"/>
              </w:rPr>
              <w:t>3</w:t>
            </w:r>
          </w:p>
        </w:tc>
      </w:tr>
    </w:tbl>
    <w:p w:rsidR="00072064" w:rsidRPr="00072064" w:rsidRDefault="00072064" w:rsidP="00072064">
      <w:pPr>
        <w:spacing w:after="0" w:line="259" w:lineRule="auto"/>
        <w:ind w:left="723" w:hanging="10"/>
        <w:jc w:val="left"/>
        <w:rPr>
          <w:rFonts w:ascii="Arial" w:hAnsi="Arial" w:cs="Arial"/>
          <w:sz w:val="24"/>
          <w:szCs w:val="24"/>
        </w:rPr>
      </w:pPr>
    </w:p>
    <w:p w:rsidR="001F08EA" w:rsidRDefault="001F08EA" w:rsidP="001F08EA">
      <w:pPr>
        <w:spacing w:after="0" w:line="259" w:lineRule="auto"/>
        <w:ind w:left="723" w:hanging="10"/>
        <w:jc w:val="left"/>
        <w:rPr>
          <w:rFonts w:ascii="Arial" w:hAnsi="Arial" w:cs="Arial"/>
          <w:b/>
          <w:sz w:val="24"/>
          <w:szCs w:val="24"/>
        </w:rPr>
      </w:pPr>
      <w:r>
        <w:rPr>
          <w:rFonts w:ascii="Arial" w:hAnsi="Arial" w:cs="Arial"/>
          <w:b/>
          <w:sz w:val="24"/>
          <w:szCs w:val="24"/>
        </w:rPr>
        <w:t xml:space="preserve">Table 2 – Work Place Learning/Classroom Based Learning </w:t>
      </w:r>
    </w:p>
    <w:p w:rsidR="001F08EA" w:rsidRPr="00072064" w:rsidRDefault="001F08EA" w:rsidP="001F08EA">
      <w:pPr>
        <w:spacing w:after="0" w:line="259" w:lineRule="auto"/>
        <w:ind w:left="723" w:hanging="10"/>
        <w:jc w:val="left"/>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721"/>
        <w:gridCol w:w="1903"/>
        <w:gridCol w:w="1513"/>
      </w:tblGrid>
      <w:tr w:rsidR="001F08EA" w:rsidRPr="001F08EA" w:rsidTr="001F08EA">
        <w:tc>
          <w:tcPr>
            <w:tcW w:w="1127" w:type="dxa"/>
            <w:shd w:val="clear" w:color="auto" w:fill="auto"/>
          </w:tcPr>
          <w:p w:rsidR="001F08EA" w:rsidRPr="001F08EA" w:rsidRDefault="001F08EA" w:rsidP="001F08EA">
            <w:pPr>
              <w:spacing w:after="0" w:line="259" w:lineRule="auto"/>
              <w:ind w:left="67" w:hanging="10"/>
              <w:jc w:val="left"/>
              <w:rPr>
                <w:rFonts w:ascii="Arial" w:hAnsi="Arial" w:cs="Arial"/>
                <w:b/>
                <w:sz w:val="24"/>
                <w:szCs w:val="24"/>
              </w:rPr>
            </w:pPr>
          </w:p>
        </w:tc>
        <w:tc>
          <w:tcPr>
            <w:tcW w:w="3721" w:type="dxa"/>
            <w:shd w:val="clear" w:color="auto" w:fill="auto"/>
          </w:tcPr>
          <w:p w:rsidR="001F08EA" w:rsidRPr="001F08EA" w:rsidRDefault="001F08EA" w:rsidP="001F08EA">
            <w:pPr>
              <w:spacing w:after="0" w:line="259" w:lineRule="auto"/>
              <w:ind w:left="67" w:hanging="10"/>
              <w:jc w:val="left"/>
              <w:rPr>
                <w:rFonts w:ascii="Arial" w:hAnsi="Arial" w:cs="Arial"/>
                <w:b/>
                <w:sz w:val="24"/>
                <w:szCs w:val="24"/>
              </w:rPr>
            </w:pPr>
            <w:r w:rsidRPr="001F08EA">
              <w:rPr>
                <w:rFonts w:ascii="Arial" w:hAnsi="Arial" w:cs="Arial"/>
                <w:b/>
                <w:sz w:val="24"/>
                <w:szCs w:val="24"/>
              </w:rPr>
              <w:t>Sub-contractor Type</w:t>
            </w:r>
          </w:p>
        </w:tc>
        <w:tc>
          <w:tcPr>
            <w:tcW w:w="1903" w:type="dxa"/>
            <w:shd w:val="clear" w:color="auto" w:fill="auto"/>
          </w:tcPr>
          <w:p w:rsidR="001F08EA" w:rsidRDefault="001F08EA" w:rsidP="001F08EA">
            <w:pPr>
              <w:spacing w:after="0" w:line="259" w:lineRule="auto"/>
              <w:ind w:left="67" w:hanging="10"/>
              <w:jc w:val="left"/>
              <w:rPr>
                <w:rFonts w:ascii="Arial" w:hAnsi="Arial" w:cs="Arial"/>
                <w:b/>
                <w:sz w:val="24"/>
                <w:szCs w:val="24"/>
              </w:rPr>
            </w:pPr>
            <w:r w:rsidRPr="001F08EA">
              <w:rPr>
                <w:rFonts w:ascii="Arial" w:hAnsi="Arial" w:cs="Arial"/>
                <w:b/>
                <w:sz w:val="24"/>
                <w:szCs w:val="24"/>
              </w:rPr>
              <w:t>Management Fee</w:t>
            </w:r>
          </w:p>
          <w:p w:rsidR="001F08EA" w:rsidRPr="001F08EA" w:rsidRDefault="001F08EA" w:rsidP="001F08EA">
            <w:pPr>
              <w:spacing w:after="0" w:line="259" w:lineRule="auto"/>
              <w:ind w:left="67" w:hanging="10"/>
              <w:jc w:val="left"/>
              <w:rPr>
                <w:rFonts w:ascii="Arial" w:hAnsi="Arial" w:cs="Arial"/>
                <w:sz w:val="22"/>
                <w:szCs w:val="24"/>
              </w:rPr>
            </w:pPr>
            <w:r w:rsidRPr="001F08EA">
              <w:rPr>
                <w:rFonts w:ascii="Arial" w:hAnsi="Arial" w:cs="Arial"/>
                <w:sz w:val="20"/>
                <w:szCs w:val="24"/>
              </w:rPr>
              <w:t>(performance related incentives may apply)</w:t>
            </w:r>
          </w:p>
        </w:tc>
        <w:tc>
          <w:tcPr>
            <w:tcW w:w="1513" w:type="dxa"/>
            <w:shd w:val="clear" w:color="auto" w:fill="auto"/>
          </w:tcPr>
          <w:p w:rsidR="001F08EA" w:rsidRDefault="001F08EA" w:rsidP="001F08EA">
            <w:pPr>
              <w:spacing w:after="0" w:line="259" w:lineRule="auto"/>
              <w:ind w:left="67" w:hanging="10"/>
              <w:jc w:val="left"/>
              <w:rPr>
                <w:rFonts w:ascii="Arial" w:hAnsi="Arial" w:cs="Arial"/>
                <w:b/>
                <w:sz w:val="24"/>
                <w:szCs w:val="24"/>
              </w:rPr>
            </w:pPr>
            <w:r w:rsidRPr="001F08EA">
              <w:rPr>
                <w:rFonts w:ascii="Arial" w:hAnsi="Arial" w:cs="Arial"/>
                <w:b/>
                <w:sz w:val="24"/>
                <w:szCs w:val="24"/>
              </w:rPr>
              <w:t>Monitoring Visits</w:t>
            </w:r>
          </w:p>
          <w:p w:rsidR="001F08EA" w:rsidRPr="001F08EA" w:rsidRDefault="001F08EA" w:rsidP="001F08EA">
            <w:pPr>
              <w:spacing w:after="0" w:line="259" w:lineRule="auto"/>
              <w:ind w:left="67" w:hanging="10"/>
              <w:jc w:val="left"/>
              <w:rPr>
                <w:rFonts w:ascii="Arial" w:hAnsi="Arial" w:cs="Arial"/>
                <w:sz w:val="24"/>
                <w:szCs w:val="24"/>
              </w:rPr>
            </w:pPr>
            <w:r w:rsidRPr="001F08EA">
              <w:rPr>
                <w:rFonts w:ascii="Arial" w:hAnsi="Arial" w:cs="Arial"/>
                <w:sz w:val="20"/>
                <w:szCs w:val="24"/>
              </w:rPr>
              <w:t>(minimum per annum)</w:t>
            </w:r>
          </w:p>
        </w:tc>
      </w:tr>
      <w:tr w:rsidR="001F08EA" w:rsidRPr="00072064" w:rsidTr="001F08EA">
        <w:tc>
          <w:tcPr>
            <w:tcW w:w="1127" w:type="dxa"/>
            <w:shd w:val="clear" w:color="auto" w:fill="00FF00"/>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 xml:space="preserve">Low Risk </w:t>
            </w:r>
          </w:p>
        </w:tc>
        <w:tc>
          <w:tcPr>
            <w:tcW w:w="3721" w:type="dxa"/>
            <w:shd w:val="clear" w:color="auto" w:fill="auto"/>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Established sub</w:t>
            </w:r>
            <w:r>
              <w:rPr>
                <w:rFonts w:ascii="Arial" w:hAnsi="Arial" w:cs="Arial"/>
                <w:sz w:val="24"/>
                <w:szCs w:val="24"/>
              </w:rPr>
              <w:t>-</w:t>
            </w:r>
            <w:r w:rsidRPr="00072064">
              <w:rPr>
                <w:rFonts w:ascii="Arial" w:hAnsi="Arial" w:cs="Arial"/>
                <w:sz w:val="24"/>
                <w:szCs w:val="24"/>
              </w:rPr>
              <w:t>contractor with experience and successful track record of delive</w:t>
            </w:r>
            <w:r>
              <w:rPr>
                <w:rFonts w:ascii="Arial" w:hAnsi="Arial" w:cs="Arial"/>
                <w:sz w:val="24"/>
                <w:szCs w:val="24"/>
              </w:rPr>
              <w:t>ry</w:t>
            </w:r>
            <w:r w:rsidRPr="00072064">
              <w:rPr>
                <w:rFonts w:ascii="Arial" w:hAnsi="Arial" w:cs="Arial"/>
                <w:sz w:val="24"/>
                <w:szCs w:val="24"/>
              </w:rPr>
              <w:t xml:space="preserve"> in </w:t>
            </w:r>
            <w:r>
              <w:rPr>
                <w:rFonts w:ascii="Arial" w:hAnsi="Arial" w:cs="Arial"/>
                <w:sz w:val="24"/>
                <w:szCs w:val="24"/>
              </w:rPr>
              <w:t xml:space="preserve">Work Place Learning and Classroom Based Learning </w:t>
            </w:r>
          </w:p>
        </w:tc>
        <w:tc>
          <w:tcPr>
            <w:tcW w:w="190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p>
          <w:p w:rsidR="001F08EA" w:rsidRPr="00072064" w:rsidRDefault="001F08EA" w:rsidP="001F08EA">
            <w:pPr>
              <w:spacing w:after="0" w:line="259" w:lineRule="auto"/>
              <w:ind w:left="723" w:hanging="10"/>
              <w:jc w:val="left"/>
              <w:rPr>
                <w:rFonts w:ascii="Arial" w:hAnsi="Arial" w:cs="Arial"/>
                <w:sz w:val="24"/>
                <w:szCs w:val="24"/>
              </w:rPr>
            </w:pPr>
            <w:r w:rsidRPr="00072064">
              <w:rPr>
                <w:rFonts w:ascii="Arial" w:hAnsi="Arial" w:cs="Arial"/>
                <w:sz w:val="24"/>
                <w:szCs w:val="24"/>
              </w:rPr>
              <w:t>1</w:t>
            </w:r>
            <w:r>
              <w:rPr>
                <w:rFonts w:ascii="Arial" w:hAnsi="Arial" w:cs="Arial"/>
                <w:sz w:val="24"/>
                <w:szCs w:val="24"/>
              </w:rPr>
              <w:t>7.5</w:t>
            </w:r>
            <w:r w:rsidRPr="00072064">
              <w:rPr>
                <w:rFonts w:ascii="Arial" w:hAnsi="Arial" w:cs="Arial"/>
                <w:sz w:val="24"/>
                <w:szCs w:val="24"/>
              </w:rPr>
              <w:t>%</w:t>
            </w:r>
          </w:p>
        </w:tc>
        <w:tc>
          <w:tcPr>
            <w:tcW w:w="151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p>
          <w:p w:rsidR="001F08EA" w:rsidRPr="00072064" w:rsidRDefault="001F08EA" w:rsidP="001F08EA">
            <w:pPr>
              <w:spacing w:after="0" w:line="259" w:lineRule="auto"/>
              <w:ind w:left="723" w:hanging="10"/>
              <w:jc w:val="left"/>
              <w:rPr>
                <w:rFonts w:ascii="Arial" w:hAnsi="Arial" w:cs="Arial"/>
                <w:sz w:val="24"/>
                <w:szCs w:val="24"/>
              </w:rPr>
            </w:pPr>
            <w:r w:rsidRPr="00072064">
              <w:rPr>
                <w:rFonts w:ascii="Arial" w:hAnsi="Arial" w:cs="Arial"/>
                <w:sz w:val="24"/>
                <w:szCs w:val="24"/>
              </w:rPr>
              <w:t>1</w:t>
            </w:r>
          </w:p>
        </w:tc>
      </w:tr>
      <w:tr w:rsidR="001F08EA" w:rsidRPr="00072064" w:rsidTr="001F08EA">
        <w:tc>
          <w:tcPr>
            <w:tcW w:w="1127" w:type="dxa"/>
            <w:shd w:val="clear" w:color="auto" w:fill="FFCC00"/>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 xml:space="preserve">Medium Risk </w:t>
            </w:r>
          </w:p>
        </w:tc>
        <w:tc>
          <w:tcPr>
            <w:tcW w:w="3721" w:type="dxa"/>
            <w:shd w:val="clear" w:color="auto" w:fill="auto"/>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Experienced sub</w:t>
            </w:r>
            <w:r>
              <w:rPr>
                <w:rFonts w:ascii="Arial" w:hAnsi="Arial" w:cs="Arial"/>
                <w:sz w:val="24"/>
                <w:szCs w:val="24"/>
              </w:rPr>
              <w:t>-</w:t>
            </w:r>
            <w:r w:rsidRPr="00072064">
              <w:rPr>
                <w:rFonts w:ascii="Arial" w:hAnsi="Arial" w:cs="Arial"/>
                <w:sz w:val="24"/>
                <w:szCs w:val="24"/>
              </w:rPr>
              <w:t xml:space="preserve">contractor </w:t>
            </w:r>
            <w:r>
              <w:rPr>
                <w:rFonts w:ascii="Arial" w:hAnsi="Arial" w:cs="Arial"/>
                <w:sz w:val="24"/>
                <w:szCs w:val="24"/>
              </w:rPr>
              <w:t xml:space="preserve">with track record of </w:t>
            </w:r>
            <w:r w:rsidRPr="00072064">
              <w:rPr>
                <w:rFonts w:ascii="Arial" w:hAnsi="Arial" w:cs="Arial"/>
                <w:sz w:val="24"/>
                <w:szCs w:val="24"/>
              </w:rPr>
              <w:t xml:space="preserve">delivery </w:t>
            </w:r>
            <w:r>
              <w:rPr>
                <w:rFonts w:ascii="Arial" w:hAnsi="Arial" w:cs="Arial"/>
                <w:sz w:val="24"/>
                <w:szCs w:val="24"/>
              </w:rPr>
              <w:t>in</w:t>
            </w:r>
            <w:r w:rsidRPr="00072064">
              <w:rPr>
                <w:rFonts w:ascii="Arial" w:hAnsi="Arial" w:cs="Arial"/>
                <w:sz w:val="24"/>
                <w:szCs w:val="24"/>
              </w:rPr>
              <w:t xml:space="preserve"> </w:t>
            </w:r>
            <w:r>
              <w:rPr>
                <w:rFonts w:ascii="Arial" w:hAnsi="Arial" w:cs="Arial"/>
                <w:sz w:val="24"/>
                <w:szCs w:val="24"/>
              </w:rPr>
              <w:t>Work Place Learning and Classroom Based Learning</w:t>
            </w:r>
          </w:p>
        </w:tc>
        <w:tc>
          <w:tcPr>
            <w:tcW w:w="190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p>
          <w:p w:rsidR="001F08EA" w:rsidRPr="00072064" w:rsidRDefault="001F08EA" w:rsidP="001F08EA">
            <w:pPr>
              <w:spacing w:after="0" w:line="259" w:lineRule="auto"/>
              <w:ind w:left="723" w:hanging="10"/>
              <w:jc w:val="left"/>
              <w:rPr>
                <w:rFonts w:ascii="Arial" w:hAnsi="Arial" w:cs="Arial"/>
                <w:sz w:val="24"/>
                <w:szCs w:val="24"/>
              </w:rPr>
            </w:pPr>
            <w:r>
              <w:rPr>
                <w:rFonts w:ascii="Arial" w:hAnsi="Arial" w:cs="Arial"/>
                <w:sz w:val="24"/>
                <w:szCs w:val="24"/>
              </w:rPr>
              <w:t>20</w:t>
            </w:r>
            <w:r w:rsidRPr="00072064">
              <w:rPr>
                <w:rFonts w:ascii="Arial" w:hAnsi="Arial" w:cs="Arial"/>
                <w:sz w:val="24"/>
                <w:szCs w:val="24"/>
              </w:rPr>
              <w:t>%</w:t>
            </w:r>
          </w:p>
        </w:tc>
        <w:tc>
          <w:tcPr>
            <w:tcW w:w="151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p>
          <w:p w:rsidR="001F08EA" w:rsidRPr="00072064" w:rsidRDefault="001F08EA" w:rsidP="001F08EA">
            <w:pPr>
              <w:spacing w:after="0" w:line="259" w:lineRule="auto"/>
              <w:ind w:left="723" w:hanging="10"/>
              <w:jc w:val="left"/>
              <w:rPr>
                <w:rFonts w:ascii="Arial" w:hAnsi="Arial" w:cs="Arial"/>
                <w:sz w:val="24"/>
                <w:szCs w:val="24"/>
              </w:rPr>
            </w:pPr>
            <w:r w:rsidRPr="00072064">
              <w:rPr>
                <w:rFonts w:ascii="Arial" w:hAnsi="Arial" w:cs="Arial"/>
                <w:sz w:val="24"/>
                <w:szCs w:val="24"/>
              </w:rPr>
              <w:t>2</w:t>
            </w:r>
          </w:p>
        </w:tc>
      </w:tr>
      <w:tr w:rsidR="001F08EA" w:rsidRPr="00072064" w:rsidTr="001F08EA">
        <w:tc>
          <w:tcPr>
            <w:tcW w:w="1127" w:type="dxa"/>
            <w:shd w:val="clear" w:color="auto" w:fill="FF0000"/>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High Risk</w:t>
            </w:r>
          </w:p>
        </w:tc>
        <w:tc>
          <w:tcPr>
            <w:tcW w:w="3721" w:type="dxa"/>
            <w:shd w:val="clear" w:color="auto" w:fill="auto"/>
          </w:tcPr>
          <w:p w:rsidR="001F08EA" w:rsidRPr="00072064" w:rsidRDefault="001F08EA" w:rsidP="001F08EA">
            <w:pPr>
              <w:spacing w:after="0" w:line="259" w:lineRule="auto"/>
              <w:ind w:left="67" w:hanging="10"/>
              <w:jc w:val="left"/>
              <w:rPr>
                <w:rFonts w:ascii="Arial" w:hAnsi="Arial" w:cs="Arial"/>
                <w:sz w:val="24"/>
                <w:szCs w:val="24"/>
              </w:rPr>
            </w:pPr>
            <w:r w:rsidRPr="00072064">
              <w:rPr>
                <w:rFonts w:ascii="Arial" w:hAnsi="Arial" w:cs="Arial"/>
                <w:sz w:val="24"/>
                <w:szCs w:val="24"/>
              </w:rPr>
              <w:t>New</w:t>
            </w:r>
            <w:r>
              <w:rPr>
                <w:rFonts w:ascii="Arial" w:hAnsi="Arial" w:cs="Arial"/>
                <w:sz w:val="24"/>
                <w:szCs w:val="24"/>
              </w:rPr>
              <w:t xml:space="preserve"> sub-contractor with no, or limited </w:t>
            </w:r>
            <w:r w:rsidRPr="00072064">
              <w:rPr>
                <w:rFonts w:ascii="Arial" w:hAnsi="Arial" w:cs="Arial"/>
                <w:sz w:val="24"/>
                <w:szCs w:val="24"/>
              </w:rPr>
              <w:t>track record</w:t>
            </w:r>
            <w:r w:rsidR="00A57C79">
              <w:rPr>
                <w:rFonts w:ascii="Arial" w:hAnsi="Arial" w:cs="Arial"/>
                <w:sz w:val="24"/>
                <w:szCs w:val="24"/>
              </w:rPr>
              <w:t xml:space="preserve"> or existing sub-contractor who has failed to meet minimum achievement rates as in their contract for services and Education.</w:t>
            </w:r>
          </w:p>
        </w:tc>
        <w:tc>
          <w:tcPr>
            <w:tcW w:w="190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r>
              <w:rPr>
                <w:rFonts w:ascii="Arial" w:hAnsi="Arial" w:cs="Arial"/>
                <w:sz w:val="24"/>
                <w:szCs w:val="24"/>
              </w:rPr>
              <w:t>25</w:t>
            </w:r>
            <w:r w:rsidRPr="00072064">
              <w:rPr>
                <w:rFonts w:ascii="Arial" w:hAnsi="Arial" w:cs="Arial"/>
                <w:sz w:val="24"/>
                <w:szCs w:val="24"/>
              </w:rPr>
              <w:t>%</w:t>
            </w:r>
          </w:p>
        </w:tc>
        <w:tc>
          <w:tcPr>
            <w:tcW w:w="1513" w:type="dxa"/>
            <w:shd w:val="clear" w:color="auto" w:fill="auto"/>
          </w:tcPr>
          <w:p w:rsidR="001F08EA" w:rsidRPr="00072064" w:rsidRDefault="001F08EA" w:rsidP="001F08EA">
            <w:pPr>
              <w:spacing w:after="0" w:line="259" w:lineRule="auto"/>
              <w:ind w:left="723" w:hanging="10"/>
              <w:jc w:val="left"/>
              <w:rPr>
                <w:rFonts w:ascii="Arial" w:hAnsi="Arial" w:cs="Arial"/>
                <w:sz w:val="24"/>
                <w:szCs w:val="24"/>
              </w:rPr>
            </w:pPr>
            <w:r w:rsidRPr="00072064">
              <w:rPr>
                <w:rFonts w:ascii="Arial" w:hAnsi="Arial" w:cs="Arial"/>
                <w:sz w:val="24"/>
                <w:szCs w:val="24"/>
              </w:rPr>
              <w:t>3</w:t>
            </w:r>
          </w:p>
        </w:tc>
      </w:tr>
    </w:tbl>
    <w:p w:rsidR="001F08EA" w:rsidRPr="00072064" w:rsidRDefault="001F08EA" w:rsidP="001F08EA">
      <w:pPr>
        <w:spacing w:after="0" w:line="259" w:lineRule="auto"/>
        <w:ind w:left="723" w:hanging="10"/>
        <w:jc w:val="left"/>
        <w:rPr>
          <w:rFonts w:ascii="Arial" w:hAnsi="Arial" w:cs="Arial"/>
          <w:sz w:val="24"/>
          <w:szCs w:val="24"/>
        </w:rPr>
      </w:pPr>
    </w:p>
    <w:p w:rsidR="00072064" w:rsidRPr="00072064" w:rsidRDefault="00072064">
      <w:pPr>
        <w:spacing w:after="0" w:line="259" w:lineRule="auto"/>
        <w:ind w:left="723" w:hanging="10"/>
        <w:jc w:val="left"/>
        <w:rPr>
          <w:rFonts w:ascii="Arial" w:hAnsi="Arial" w:cs="Arial"/>
          <w:sz w:val="24"/>
          <w:szCs w:val="24"/>
        </w:rPr>
      </w:pPr>
    </w:p>
    <w:p w:rsidR="00885103" w:rsidRPr="001F08EA" w:rsidRDefault="00072064" w:rsidP="001F08EA">
      <w:pPr>
        <w:numPr>
          <w:ilvl w:val="0"/>
          <w:numId w:val="5"/>
        </w:numPr>
        <w:spacing w:after="287"/>
        <w:ind w:left="1134" w:right="7" w:hanging="425"/>
        <w:rPr>
          <w:rFonts w:ascii="Arial" w:hAnsi="Arial" w:cs="Arial"/>
          <w:sz w:val="24"/>
          <w:szCs w:val="24"/>
        </w:rPr>
      </w:pPr>
      <w:r w:rsidRPr="001F08EA">
        <w:rPr>
          <w:rFonts w:ascii="Arial" w:hAnsi="Arial" w:cs="Arial"/>
          <w:sz w:val="24"/>
          <w:szCs w:val="24"/>
        </w:rPr>
        <w:t>All of the organisations contracted with have undergone a robust Lincoln College due diligence process and been audited by the College's Quality Department.</w:t>
      </w:r>
    </w:p>
    <w:p w:rsidR="00885103" w:rsidRPr="001F08EA" w:rsidRDefault="00072064" w:rsidP="001F08EA">
      <w:pPr>
        <w:numPr>
          <w:ilvl w:val="0"/>
          <w:numId w:val="5"/>
        </w:numPr>
        <w:spacing w:after="202"/>
        <w:ind w:left="1134" w:right="7" w:hanging="425"/>
        <w:rPr>
          <w:rFonts w:ascii="Arial" w:hAnsi="Arial" w:cs="Arial"/>
          <w:sz w:val="24"/>
          <w:szCs w:val="24"/>
        </w:rPr>
      </w:pPr>
      <w:r w:rsidRPr="001F08EA">
        <w:rPr>
          <w:rFonts w:ascii="Arial" w:hAnsi="Arial" w:cs="Arial"/>
          <w:sz w:val="24"/>
          <w:szCs w:val="24"/>
        </w:rPr>
        <w:lastRenderedPageBreak/>
        <w:t>A risk assessment is undertaken on all organisations.</w:t>
      </w:r>
    </w:p>
    <w:p w:rsidR="00885103" w:rsidRPr="001F08EA" w:rsidRDefault="00072064" w:rsidP="001F08EA">
      <w:pPr>
        <w:numPr>
          <w:ilvl w:val="0"/>
          <w:numId w:val="5"/>
        </w:numPr>
        <w:spacing w:after="231"/>
        <w:ind w:left="1134" w:right="7" w:hanging="425"/>
        <w:rPr>
          <w:rFonts w:ascii="Arial" w:hAnsi="Arial" w:cs="Arial"/>
          <w:sz w:val="24"/>
          <w:szCs w:val="24"/>
        </w:rPr>
      </w:pPr>
      <w:r w:rsidRPr="001F08EA">
        <w:rPr>
          <w:rFonts w:ascii="Arial" w:hAnsi="Arial" w:cs="Arial"/>
          <w:sz w:val="24"/>
          <w:szCs w:val="24"/>
        </w:rPr>
        <w:t>Payment is never authorised without a full Education and Skills Funding Agency (ESFA) approved contract being in place.</w:t>
      </w:r>
    </w:p>
    <w:p w:rsidR="00885103" w:rsidRPr="001F08EA" w:rsidRDefault="00072064" w:rsidP="00AD6673">
      <w:pPr>
        <w:numPr>
          <w:ilvl w:val="0"/>
          <w:numId w:val="5"/>
        </w:numPr>
        <w:spacing w:after="937" w:line="240" w:lineRule="auto"/>
        <w:ind w:left="1134" w:right="7" w:hanging="425"/>
        <w:rPr>
          <w:rFonts w:ascii="Arial" w:hAnsi="Arial" w:cs="Arial"/>
          <w:sz w:val="24"/>
          <w:szCs w:val="24"/>
        </w:rPr>
      </w:pPr>
      <w:r w:rsidRPr="001F08EA">
        <w:rPr>
          <w:rFonts w:ascii="Arial" w:hAnsi="Arial" w:cs="Arial"/>
          <w:sz w:val="24"/>
          <w:szCs w:val="24"/>
        </w:rPr>
        <w:t xml:space="preserve">Payments are made </w:t>
      </w:r>
      <w:r w:rsidR="001F08EA">
        <w:rPr>
          <w:rFonts w:ascii="Arial" w:hAnsi="Arial" w:cs="Arial"/>
          <w:sz w:val="24"/>
          <w:szCs w:val="24"/>
        </w:rPr>
        <w:t>on invoice submitted by the sub-</w:t>
      </w:r>
      <w:r w:rsidRPr="001F08EA">
        <w:rPr>
          <w:rFonts w:ascii="Arial" w:hAnsi="Arial" w:cs="Arial"/>
          <w:sz w:val="24"/>
          <w:szCs w:val="24"/>
        </w:rPr>
        <w:t>c</w:t>
      </w:r>
      <w:r w:rsidR="001F08EA">
        <w:rPr>
          <w:rFonts w:ascii="Arial" w:hAnsi="Arial" w:cs="Arial"/>
          <w:sz w:val="24"/>
          <w:szCs w:val="24"/>
        </w:rPr>
        <w:t>ontractor at the end of each IL</w:t>
      </w:r>
      <w:r w:rsidRPr="001F08EA">
        <w:rPr>
          <w:rFonts w:ascii="Arial" w:hAnsi="Arial" w:cs="Arial"/>
          <w:sz w:val="24"/>
          <w:szCs w:val="24"/>
        </w:rPr>
        <w:t>R return. Lincoln College aims to pay within 30 days of invoice received.</w:t>
      </w:r>
    </w:p>
    <w:p w:rsidR="00885103" w:rsidRPr="001F08EA" w:rsidRDefault="00072064" w:rsidP="00AD6673">
      <w:pPr>
        <w:pStyle w:val="ListParagraph"/>
        <w:numPr>
          <w:ilvl w:val="0"/>
          <w:numId w:val="5"/>
        </w:numPr>
        <w:spacing w:after="304" w:line="240" w:lineRule="auto"/>
        <w:ind w:left="1134" w:right="7" w:hanging="425"/>
        <w:rPr>
          <w:rFonts w:ascii="Arial" w:hAnsi="Arial" w:cs="Arial"/>
          <w:sz w:val="24"/>
          <w:szCs w:val="24"/>
        </w:rPr>
      </w:pPr>
      <w:r w:rsidRPr="001F08EA">
        <w:rPr>
          <w:rFonts w:ascii="Arial" w:hAnsi="Arial" w:cs="Arial"/>
          <w:sz w:val="24"/>
          <w:szCs w:val="24"/>
        </w:rPr>
        <w:t>All claims for payment are made after sufficient audit evidence of activity has been provided. This includes one or more site visits by the Quality Department.</w:t>
      </w:r>
    </w:p>
    <w:p w:rsidR="00885103" w:rsidRPr="001F08EA" w:rsidRDefault="00072064" w:rsidP="001F08EA">
      <w:pPr>
        <w:numPr>
          <w:ilvl w:val="0"/>
          <w:numId w:val="5"/>
        </w:numPr>
        <w:spacing w:after="279"/>
        <w:ind w:left="1134" w:right="7" w:hanging="425"/>
        <w:rPr>
          <w:rFonts w:ascii="Arial" w:hAnsi="Arial" w:cs="Arial"/>
          <w:sz w:val="24"/>
          <w:szCs w:val="24"/>
        </w:rPr>
      </w:pPr>
      <w:r w:rsidRPr="001F08EA">
        <w:rPr>
          <w:rFonts w:ascii="Arial" w:hAnsi="Arial" w:cs="Arial"/>
          <w:sz w:val="24"/>
          <w:szCs w:val="24"/>
        </w:rPr>
        <w:t xml:space="preserve">As part of controls, the MD (Education and Training Delivery) reviews the risk assessment of each existing and new subcontractor which is led by the Director of </w:t>
      </w:r>
      <w:r w:rsidR="00682084">
        <w:rPr>
          <w:rFonts w:ascii="Arial" w:hAnsi="Arial" w:cs="Arial"/>
          <w:sz w:val="24"/>
          <w:szCs w:val="24"/>
        </w:rPr>
        <w:t>Apprenticeships</w:t>
      </w:r>
      <w:r w:rsidRPr="001F08EA">
        <w:rPr>
          <w:rFonts w:ascii="Arial" w:hAnsi="Arial" w:cs="Arial"/>
          <w:sz w:val="24"/>
          <w:szCs w:val="24"/>
        </w:rPr>
        <w:t xml:space="preserve"> prior to any new annual contracts being signed.</w:t>
      </w:r>
    </w:p>
    <w:p w:rsidR="00885103" w:rsidRPr="001F08EA" w:rsidRDefault="00072064" w:rsidP="001F08EA">
      <w:pPr>
        <w:numPr>
          <w:ilvl w:val="0"/>
          <w:numId w:val="5"/>
        </w:numPr>
        <w:spacing w:after="209"/>
        <w:ind w:left="1134" w:right="7" w:hanging="425"/>
        <w:rPr>
          <w:rFonts w:ascii="Arial" w:hAnsi="Arial" w:cs="Arial"/>
          <w:sz w:val="24"/>
          <w:szCs w:val="24"/>
        </w:rPr>
      </w:pPr>
      <w:r w:rsidRPr="001F08EA">
        <w:rPr>
          <w:rFonts w:ascii="Arial" w:hAnsi="Arial" w:cs="Arial"/>
          <w:sz w:val="24"/>
          <w:szCs w:val="24"/>
        </w:rPr>
        <w:t>This policy is communicated to sub</w:t>
      </w:r>
      <w:r w:rsidR="001F08EA">
        <w:rPr>
          <w:rFonts w:ascii="Arial" w:hAnsi="Arial" w:cs="Arial"/>
          <w:sz w:val="24"/>
          <w:szCs w:val="24"/>
        </w:rPr>
        <w:t>-</w:t>
      </w:r>
      <w:r w:rsidRPr="001F08EA">
        <w:rPr>
          <w:rFonts w:ascii="Arial" w:hAnsi="Arial" w:cs="Arial"/>
          <w:sz w:val="24"/>
          <w:szCs w:val="24"/>
        </w:rPr>
        <w:t>contractors at the contracting stage.</w:t>
      </w:r>
    </w:p>
    <w:p w:rsidR="00885103" w:rsidRPr="001F08EA" w:rsidRDefault="00072064" w:rsidP="001F08EA">
      <w:pPr>
        <w:numPr>
          <w:ilvl w:val="0"/>
          <w:numId w:val="5"/>
        </w:numPr>
        <w:spacing w:after="290"/>
        <w:ind w:left="1134" w:right="7" w:hanging="425"/>
        <w:rPr>
          <w:rFonts w:ascii="Arial" w:hAnsi="Arial" w:cs="Arial"/>
          <w:sz w:val="24"/>
          <w:szCs w:val="24"/>
        </w:rPr>
      </w:pPr>
      <w:r w:rsidRPr="001F08EA">
        <w:rPr>
          <w:rFonts w:ascii="Arial" w:hAnsi="Arial" w:cs="Arial"/>
          <w:sz w:val="24"/>
          <w:szCs w:val="24"/>
        </w:rPr>
        <w:t>Support is provided to all sub-contractors in the form of:</w:t>
      </w:r>
    </w:p>
    <w:p w:rsidR="00885103" w:rsidRPr="00072064" w:rsidRDefault="00072064" w:rsidP="001F08EA">
      <w:pPr>
        <w:numPr>
          <w:ilvl w:val="1"/>
          <w:numId w:val="6"/>
        </w:numPr>
        <w:spacing w:after="0" w:line="240" w:lineRule="auto"/>
        <w:ind w:left="1497" w:right="6" w:hanging="369"/>
        <w:rPr>
          <w:rFonts w:ascii="Arial" w:hAnsi="Arial" w:cs="Arial"/>
          <w:sz w:val="24"/>
          <w:szCs w:val="24"/>
        </w:rPr>
      </w:pPr>
      <w:r w:rsidRPr="00072064">
        <w:rPr>
          <w:rFonts w:ascii="Arial" w:hAnsi="Arial" w:cs="Arial"/>
          <w:sz w:val="24"/>
          <w:szCs w:val="24"/>
        </w:rPr>
        <w:t>Regular quality audits (at least on</w:t>
      </w:r>
      <w:r w:rsidR="001F08EA">
        <w:rPr>
          <w:rFonts w:ascii="Arial" w:hAnsi="Arial" w:cs="Arial"/>
          <w:sz w:val="24"/>
          <w:szCs w:val="24"/>
        </w:rPr>
        <w:t>e</w:t>
      </w:r>
      <w:r w:rsidRPr="00072064">
        <w:rPr>
          <w:rFonts w:ascii="Arial" w:hAnsi="Arial" w:cs="Arial"/>
          <w:sz w:val="24"/>
          <w:szCs w:val="24"/>
        </w:rPr>
        <w:t xml:space="preserve"> per year).</w:t>
      </w:r>
    </w:p>
    <w:p w:rsidR="00885103" w:rsidRPr="00072064" w:rsidRDefault="00072064" w:rsidP="001F08EA">
      <w:pPr>
        <w:numPr>
          <w:ilvl w:val="1"/>
          <w:numId w:val="6"/>
        </w:numPr>
        <w:spacing w:after="0" w:line="240" w:lineRule="auto"/>
        <w:ind w:left="1497" w:right="6" w:hanging="369"/>
        <w:rPr>
          <w:rFonts w:ascii="Arial" w:hAnsi="Arial" w:cs="Arial"/>
          <w:sz w:val="24"/>
          <w:szCs w:val="24"/>
        </w:rPr>
      </w:pPr>
      <w:r w:rsidRPr="00072064">
        <w:rPr>
          <w:rFonts w:ascii="Arial" w:hAnsi="Arial" w:cs="Arial"/>
          <w:sz w:val="24"/>
          <w:szCs w:val="24"/>
        </w:rPr>
        <w:t>Quality checks, including observation of TLA activities.</w:t>
      </w:r>
    </w:p>
    <w:p w:rsidR="00885103" w:rsidRPr="00072064" w:rsidRDefault="00072064" w:rsidP="001F08EA">
      <w:pPr>
        <w:numPr>
          <w:ilvl w:val="1"/>
          <w:numId w:val="6"/>
        </w:numPr>
        <w:spacing w:after="0" w:line="240" w:lineRule="auto"/>
        <w:ind w:left="1497" w:right="6" w:hanging="369"/>
        <w:rPr>
          <w:rFonts w:ascii="Arial" w:hAnsi="Arial" w:cs="Arial"/>
          <w:sz w:val="24"/>
          <w:szCs w:val="24"/>
        </w:rPr>
      </w:pPr>
      <w:r w:rsidRPr="00072064">
        <w:rPr>
          <w:rFonts w:ascii="Arial" w:hAnsi="Arial" w:cs="Arial"/>
          <w:sz w:val="24"/>
          <w:szCs w:val="24"/>
        </w:rPr>
        <w:t>Monitoring of quality assurance and improvement processes.</w:t>
      </w:r>
    </w:p>
    <w:p w:rsidR="00885103" w:rsidRPr="00072064" w:rsidRDefault="00072064" w:rsidP="001F08EA">
      <w:pPr>
        <w:numPr>
          <w:ilvl w:val="1"/>
          <w:numId w:val="6"/>
        </w:numPr>
        <w:spacing w:after="0" w:line="240" w:lineRule="auto"/>
        <w:ind w:left="1497" w:right="6" w:hanging="369"/>
        <w:rPr>
          <w:rFonts w:ascii="Arial" w:hAnsi="Arial" w:cs="Arial"/>
          <w:sz w:val="24"/>
          <w:szCs w:val="24"/>
        </w:rPr>
      </w:pPr>
      <w:r w:rsidRPr="00072064">
        <w:rPr>
          <w:rFonts w:ascii="Arial" w:hAnsi="Arial" w:cs="Arial"/>
          <w:sz w:val="24"/>
          <w:szCs w:val="24"/>
        </w:rPr>
        <w:t>Regular performance reviews and compliance meetings.</w:t>
      </w:r>
    </w:p>
    <w:p w:rsidR="00885103" w:rsidRPr="00072064" w:rsidRDefault="00072064" w:rsidP="001F08EA">
      <w:pPr>
        <w:numPr>
          <w:ilvl w:val="1"/>
          <w:numId w:val="6"/>
        </w:numPr>
        <w:spacing w:after="0" w:line="240" w:lineRule="auto"/>
        <w:ind w:left="1497" w:right="6" w:hanging="369"/>
        <w:rPr>
          <w:rFonts w:ascii="Arial" w:hAnsi="Arial" w:cs="Arial"/>
          <w:sz w:val="24"/>
          <w:szCs w:val="24"/>
        </w:rPr>
      </w:pPr>
      <w:r w:rsidRPr="00072064">
        <w:rPr>
          <w:rFonts w:ascii="Arial" w:hAnsi="Arial" w:cs="Arial"/>
          <w:sz w:val="24"/>
          <w:szCs w:val="24"/>
        </w:rPr>
        <w:t>Quarterly partner meetings to promote collaboration and provide training and support.</w:t>
      </w:r>
    </w:p>
    <w:sectPr w:rsidR="00885103" w:rsidRPr="00072064">
      <w:footerReference w:type="default" r:id="rId15"/>
      <w:pgSz w:w="11900" w:h="16820"/>
      <w:pgMar w:top="1183" w:right="1527" w:bottom="670" w:left="1282" w:header="720" w:footer="6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8EA" w:rsidRDefault="001F08EA">
      <w:pPr>
        <w:spacing w:after="0" w:line="240" w:lineRule="auto"/>
      </w:pPr>
      <w:r>
        <w:separator/>
      </w:r>
    </w:p>
  </w:endnote>
  <w:endnote w:type="continuationSeparator" w:id="0">
    <w:p w:rsidR="001F08EA" w:rsidRDefault="001F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coln Colleg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Default="001F08EA">
    <w:pPr>
      <w:tabs>
        <w:tab w:val="center" w:pos="4805"/>
      </w:tabs>
      <w:spacing w:after="0" w:line="259" w:lineRule="auto"/>
      <w:ind w:left="-29" w:firstLine="0"/>
      <w:jc w:val="left"/>
    </w:pPr>
    <w:r>
      <w:rPr>
        <w:sz w:val="20"/>
      </w:rPr>
      <w:t xml:space="preserve">Last </w:t>
    </w:r>
    <w:r>
      <w:rPr>
        <w:sz w:val="16"/>
      </w:rPr>
      <w:t xml:space="preserve">formal </w:t>
    </w:r>
    <w:r>
      <w:rPr>
        <w:sz w:val="18"/>
      </w:rPr>
      <w:t xml:space="preserve">review date: August 2017 </w:t>
    </w:r>
    <w:r>
      <w:rPr>
        <w:sz w:val="14"/>
      </w:rPr>
      <w:t xml:space="preserve">— </w:t>
    </w:r>
    <w:r>
      <w:rPr>
        <w:sz w:val="18"/>
      </w:rPr>
      <w:t xml:space="preserve">Next formal </w:t>
    </w:r>
    <w:r>
      <w:rPr>
        <w:sz w:val="18"/>
      </w:rPr>
      <w:tab/>
      <w:t>date: 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Pr="00072064" w:rsidRDefault="001F08EA" w:rsidP="00072064">
    <w:pPr>
      <w:tabs>
        <w:tab w:val="left" w:pos="2552"/>
        <w:tab w:val="left" w:pos="5670"/>
      </w:tabs>
      <w:spacing w:after="0" w:line="240" w:lineRule="auto"/>
      <w:ind w:left="-426" w:right="-755" w:firstLine="0"/>
      <w:jc w:val="left"/>
    </w:pPr>
    <w:r w:rsidRPr="00072064">
      <w:rPr>
        <w:rFonts w:ascii="Arial" w:eastAsia="Times New Roman" w:hAnsi="Arial" w:cs="Arial"/>
        <w:sz w:val="18"/>
        <w:szCs w:val="18"/>
      </w:rPr>
      <w:t>L</w:t>
    </w:r>
    <w:r>
      <w:rPr>
        <w:rFonts w:ascii="Arial" w:eastAsia="Times New Roman" w:hAnsi="Arial" w:cs="Arial"/>
        <w:sz w:val="18"/>
        <w:szCs w:val="18"/>
      </w:rPr>
      <w:t xml:space="preserve">ast Updated: </w:t>
    </w:r>
    <w:r w:rsidR="00A57C79">
      <w:rPr>
        <w:rFonts w:ascii="Arial" w:eastAsia="Times New Roman" w:hAnsi="Arial" w:cs="Arial"/>
        <w:sz w:val="18"/>
        <w:szCs w:val="18"/>
      </w:rPr>
      <w:t xml:space="preserve">October </w:t>
    </w:r>
    <w:r>
      <w:rPr>
        <w:rFonts w:ascii="Arial" w:eastAsia="Times New Roman" w:hAnsi="Arial" w:cs="Arial"/>
        <w:sz w:val="18"/>
        <w:szCs w:val="18"/>
      </w:rPr>
      <w:t>201</w:t>
    </w:r>
    <w:r w:rsidR="00A57C79">
      <w:rPr>
        <w:rFonts w:ascii="Arial" w:eastAsia="Times New Roman" w:hAnsi="Arial" w:cs="Arial"/>
        <w:sz w:val="18"/>
        <w:szCs w:val="18"/>
      </w:rPr>
      <w:t>9</w:t>
    </w:r>
    <w:r w:rsidRPr="00072064">
      <w:rPr>
        <w:rFonts w:ascii="Arial" w:eastAsia="Times New Roman" w:hAnsi="Arial" w:cs="Arial"/>
        <w:sz w:val="18"/>
        <w:szCs w:val="18"/>
      </w:rPr>
      <w:t xml:space="preserve"> </w:t>
    </w:r>
    <w:r w:rsidRPr="00072064">
      <w:rPr>
        <w:rFonts w:ascii="Arial" w:eastAsia="Times New Roman" w:hAnsi="Arial" w:cs="Arial"/>
        <w:sz w:val="18"/>
        <w:szCs w:val="18"/>
      </w:rPr>
      <w:tab/>
      <w:t xml:space="preserve">Last Reviewed: </w:t>
    </w:r>
    <w:r w:rsidR="00A57C79">
      <w:rPr>
        <w:rFonts w:ascii="Arial" w:eastAsia="Times New Roman" w:hAnsi="Arial" w:cs="Arial"/>
        <w:sz w:val="18"/>
        <w:szCs w:val="18"/>
      </w:rPr>
      <w:t xml:space="preserve">October </w:t>
    </w:r>
    <w:r>
      <w:rPr>
        <w:rFonts w:ascii="Arial" w:eastAsia="Times New Roman" w:hAnsi="Arial" w:cs="Arial"/>
        <w:sz w:val="18"/>
        <w:szCs w:val="18"/>
      </w:rPr>
      <w:t>201</w:t>
    </w:r>
    <w:r w:rsidR="00A57C79">
      <w:rPr>
        <w:rFonts w:ascii="Arial" w:eastAsia="Times New Roman" w:hAnsi="Arial" w:cs="Arial"/>
        <w:sz w:val="18"/>
        <w:szCs w:val="18"/>
      </w:rPr>
      <w:t>9</w:t>
    </w:r>
    <w:r w:rsidRPr="00072064">
      <w:rPr>
        <w:rFonts w:ascii="Arial" w:eastAsia="Times New Roman" w:hAnsi="Arial" w:cs="Arial"/>
        <w:sz w:val="18"/>
        <w:szCs w:val="18"/>
      </w:rPr>
      <w:tab/>
    </w:r>
    <w:r w:rsidRPr="00072064">
      <w:rPr>
        <w:rFonts w:ascii="Arial" w:eastAsia="Times New Roman" w:hAnsi="Arial" w:cs="Arial"/>
        <w:sz w:val="18"/>
        <w:szCs w:val="18"/>
      </w:rPr>
      <w:tab/>
      <w:t>Next Review Period: 20</w:t>
    </w:r>
    <w:r w:rsidR="00A57C79">
      <w:rPr>
        <w:rFonts w:ascii="Arial" w:eastAsia="Times New Roman" w:hAnsi="Arial" w:cs="Arial"/>
        <w:sz w:val="18"/>
        <w:szCs w:val="18"/>
      </w:rPr>
      <w:t>20</w:t>
    </w:r>
    <w:r w:rsidRPr="00072064">
      <w:rPr>
        <w:rFonts w:ascii="Arial" w:eastAsia="Times New Roman" w:hAnsi="Arial" w:cs="Arial"/>
        <w:sz w:val="18"/>
        <w:szCs w:val="18"/>
      </w:rPr>
      <w:t>/</w:t>
    </w:r>
    <w:r>
      <w:rPr>
        <w:rFonts w:ascii="Arial" w:eastAsia="Times New Roman" w:hAnsi="Arial" w:cs="Arial"/>
        <w:sz w:val="18"/>
        <w:szCs w:val="18"/>
      </w:rPr>
      <w:t>2</w:t>
    </w:r>
    <w:r w:rsidR="00A57C79">
      <w:rPr>
        <w:rFonts w:ascii="Arial" w:eastAsia="Times New Roman" w:hAnsi="Arial" w:cs="Arial"/>
        <w:sz w:val="18"/>
        <w:szCs w:val="18"/>
      </w:rPr>
      <w:t>1</w:t>
    </w:r>
    <w:r w:rsidRPr="00072064">
      <w:rPr>
        <w:rFonts w:ascii="Arial" w:eastAsia="Times New Roman" w:hAnsi="Arial" w:cs="Arial"/>
        <w:sz w:val="18"/>
        <w:szCs w:val="18"/>
      </w:rPr>
      <w:t xml:space="preserve"> academic year</w:t>
    </w:r>
    <w:r w:rsidRPr="00072064">
      <w:rPr>
        <w:rFonts w:ascii="Arial" w:eastAsia="Times New Roman"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Default="001F08EA">
    <w:pPr>
      <w:tabs>
        <w:tab w:val="center" w:pos="4805"/>
      </w:tabs>
      <w:spacing w:after="0" w:line="259" w:lineRule="auto"/>
      <w:ind w:left="-29" w:firstLine="0"/>
      <w:jc w:val="left"/>
    </w:pPr>
    <w:r>
      <w:rPr>
        <w:sz w:val="20"/>
      </w:rPr>
      <w:t xml:space="preserve">Last </w:t>
    </w:r>
    <w:r>
      <w:rPr>
        <w:sz w:val="16"/>
      </w:rPr>
      <w:t xml:space="preserve">formal </w:t>
    </w:r>
    <w:r>
      <w:rPr>
        <w:sz w:val="18"/>
      </w:rPr>
      <w:t xml:space="preserve">review date: August 2017 </w:t>
    </w:r>
    <w:r>
      <w:rPr>
        <w:sz w:val="14"/>
      </w:rPr>
      <w:t xml:space="preserve">— </w:t>
    </w:r>
    <w:r>
      <w:rPr>
        <w:sz w:val="18"/>
      </w:rPr>
      <w:t xml:space="preserve">Next formal </w:t>
    </w:r>
    <w:r>
      <w:rPr>
        <w:sz w:val="18"/>
      </w:rPr>
      <w:tab/>
      <w:t>date: August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Default="001F08EA">
    <w:pPr>
      <w:tabs>
        <w:tab w:val="center" w:pos="4495"/>
        <w:tab w:val="center" w:pos="8698"/>
      </w:tabs>
      <w:spacing w:after="0" w:line="259" w:lineRule="auto"/>
      <w:ind w:left="-14" w:firstLine="0"/>
      <w:jc w:val="left"/>
    </w:pPr>
    <w:r>
      <w:rPr>
        <w:sz w:val="20"/>
      </w:rPr>
      <w:t xml:space="preserve">Last </w:t>
    </w:r>
    <w:r>
      <w:rPr>
        <w:sz w:val="18"/>
      </w:rPr>
      <w:t xml:space="preserve">formal review date: </w:t>
    </w:r>
    <w:r>
      <w:rPr>
        <w:sz w:val="20"/>
      </w:rPr>
      <w:t xml:space="preserve">Aug </w:t>
    </w:r>
    <w:r>
      <w:rPr>
        <w:sz w:val="18"/>
      </w:rPr>
      <w:t xml:space="preserve">2017 </w:t>
    </w:r>
    <w:r>
      <w:rPr>
        <w:sz w:val="14"/>
      </w:rPr>
      <w:t xml:space="preserve">— </w:t>
    </w:r>
    <w:r>
      <w:rPr>
        <w:sz w:val="18"/>
      </w:rPr>
      <w:t xml:space="preserve">Next formal </w:t>
    </w:r>
    <w:r>
      <w:rPr>
        <w:sz w:val="18"/>
      </w:rPr>
      <w:tab/>
      <w:t>date: Aug 2018</w:t>
    </w:r>
    <w:r>
      <w:rPr>
        <w:sz w:val="18"/>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Pr="00072064" w:rsidRDefault="001F08EA">
    <w:pPr>
      <w:tabs>
        <w:tab w:val="center" w:pos="4495"/>
        <w:tab w:val="center" w:pos="8698"/>
      </w:tabs>
      <w:spacing w:after="0" w:line="259" w:lineRule="auto"/>
      <w:ind w:left="-14" w:firstLine="0"/>
      <w:jc w:val="left"/>
      <w:rPr>
        <w:rFonts w:ascii="Arial" w:hAnsi="Arial" w:cs="Arial"/>
        <w:sz w:val="20"/>
        <w:szCs w:val="20"/>
      </w:rPr>
    </w:pP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A" w:rsidRDefault="001F08EA">
    <w:pPr>
      <w:tabs>
        <w:tab w:val="center" w:pos="4495"/>
        <w:tab w:val="center" w:pos="8698"/>
      </w:tabs>
      <w:spacing w:after="0" w:line="259" w:lineRule="auto"/>
      <w:ind w:left="-14" w:firstLine="0"/>
      <w:jc w:val="left"/>
    </w:pPr>
    <w:r>
      <w:rPr>
        <w:sz w:val="20"/>
      </w:rPr>
      <w:t xml:space="preserve">Last </w:t>
    </w:r>
    <w:r>
      <w:rPr>
        <w:sz w:val="18"/>
      </w:rPr>
      <w:t xml:space="preserve">formal review date: </w:t>
    </w:r>
    <w:r>
      <w:rPr>
        <w:sz w:val="20"/>
      </w:rPr>
      <w:t xml:space="preserve">Aug </w:t>
    </w:r>
    <w:r>
      <w:rPr>
        <w:sz w:val="18"/>
      </w:rPr>
      <w:t xml:space="preserve">2017 </w:t>
    </w:r>
    <w:r>
      <w:rPr>
        <w:sz w:val="14"/>
      </w:rPr>
      <w:t xml:space="preserve">— </w:t>
    </w:r>
    <w:r>
      <w:rPr>
        <w:sz w:val="18"/>
      </w:rPr>
      <w:t xml:space="preserve">Next formal </w:t>
    </w:r>
    <w:r>
      <w:rPr>
        <w:sz w:val="18"/>
      </w:rPr>
      <w:tab/>
      <w:t>date: Aug 2018</w:t>
    </w:r>
    <w:r>
      <w:rPr>
        <w:sz w:val="18"/>
      </w:rPr>
      <w:tab/>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104880"/>
      <w:docPartObj>
        <w:docPartGallery w:val="Page Numbers (Bottom of Page)"/>
        <w:docPartUnique/>
      </w:docPartObj>
    </w:sdtPr>
    <w:sdtEndPr>
      <w:rPr>
        <w:noProof/>
        <w:sz w:val="22"/>
      </w:rPr>
    </w:sdtEndPr>
    <w:sdtContent>
      <w:p w:rsidR="006D67B8" w:rsidRPr="006D67B8" w:rsidRDefault="006D67B8">
        <w:pPr>
          <w:pStyle w:val="Footer"/>
          <w:jc w:val="center"/>
          <w:rPr>
            <w:sz w:val="22"/>
          </w:rPr>
        </w:pPr>
        <w:r w:rsidRPr="006D67B8">
          <w:rPr>
            <w:sz w:val="22"/>
          </w:rPr>
          <w:fldChar w:fldCharType="begin"/>
        </w:r>
        <w:r w:rsidRPr="006D67B8">
          <w:rPr>
            <w:sz w:val="22"/>
          </w:rPr>
          <w:instrText xml:space="preserve"> PAGE   \* MERGEFORMAT </w:instrText>
        </w:r>
        <w:r w:rsidRPr="006D67B8">
          <w:rPr>
            <w:sz w:val="22"/>
          </w:rPr>
          <w:fldChar w:fldCharType="separate"/>
        </w:r>
        <w:r w:rsidR="00AD6673">
          <w:rPr>
            <w:noProof/>
            <w:sz w:val="22"/>
          </w:rPr>
          <w:t>1</w:t>
        </w:r>
        <w:r w:rsidRPr="006D67B8">
          <w:rPr>
            <w:noProof/>
            <w:sz w:val="22"/>
          </w:rPr>
          <w:fldChar w:fldCharType="end"/>
        </w:r>
      </w:p>
    </w:sdtContent>
  </w:sdt>
  <w:p w:rsidR="006D67B8" w:rsidRPr="00072064" w:rsidRDefault="006D67B8">
    <w:pPr>
      <w:tabs>
        <w:tab w:val="center" w:pos="4495"/>
        <w:tab w:val="center" w:pos="8698"/>
      </w:tabs>
      <w:spacing w:after="0" w:line="259" w:lineRule="auto"/>
      <w:ind w:left="-14" w:firstLine="0"/>
      <w:jc w:val="lef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8EA" w:rsidRDefault="001F08EA">
      <w:pPr>
        <w:spacing w:after="0" w:line="240" w:lineRule="auto"/>
      </w:pPr>
      <w:r>
        <w:separator/>
      </w:r>
    </w:p>
  </w:footnote>
  <w:footnote w:type="continuationSeparator" w:id="0">
    <w:p w:rsidR="001F08EA" w:rsidRDefault="001F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5pt;height:9.75pt" coordsize="" o:spt="100" o:bullet="t" adj="0,,0" path="" stroked="f">
        <v:stroke joinstyle="miter"/>
        <v:imagedata r:id="rId1" o:title="image14"/>
        <v:formulas/>
        <v:path o:connecttype="segments"/>
      </v:shape>
    </w:pict>
  </w:numPicBullet>
  <w:numPicBullet w:numPicBulletId="1">
    <w:pict>
      <v:shape id="_x0000_i1027" style="width:10.5pt;height:9.75pt" coordsize="" o:spt="100" o:bullet="t" adj="0,,0" path="" stroked="f">
        <v:stroke joinstyle="miter"/>
        <v:imagedata r:id="rId2" o:title="image15"/>
        <v:formulas/>
        <v:path o:connecttype="segments"/>
      </v:shape>
    </w:pict>
  </w:numPicBullet>
  <w:abstractNum w:abstractNumId="0" w15:restartNumberingAfterBreak="0">
    <w:nsid w:val="07877E5B"/>
    <w:multiLevelType w:val="hybridMultilevel"/>
    <w:tmpl w:val="9746CEE0"/>
    <w:lvl w:ilvl="0" w:tplc="2F3EBF58">
      <w:start w:val="6"/>
      <w:numFmt w:val="lowerLetter"/>
      <w:lvlText w:val="%1."/>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1">
      <w:start w:val="1"/>
      <w:numFmt w:val="bullet"/>
      <w:lvlText w:val=""/>
      <w:lvlJc w:val="left"/>
      <w:pPr>
        <w:ind w:left="149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7674AD6A">
      <w:start w:val="1"/>
      <w:numFmt w:val="bullet"/>
      <w:lvlText w:val="▪"/>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D6BDB8">
      <w:start w:val="1"/>
      <w:numFmt w:val="bullet"/>
      <w:lvlText w:val="•"/>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7A72D0">
      <w:start w:val="1"/>
      <w:numFmt w:val="bullet"/>
      <w:lvlText w:val="o"/>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C4BD7E">
      <w:start w:val="1"/>
      <w:numFmt w:val="bullet"/>
      <w:lvlText w:val="▪"/>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8E0C26">
      <w:start w:val="1"/>
      <w:numFmt w:val="bullet"/>
      <w:lvlText w:val="•"/>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4A1992">
      <w:start w:val="1"/>
      <w:numFmt w:val="bullet"/>
      <w:lvlText w:val="o"/>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B40A64">
      <w:start w:val="1"/>
      <w:numFmt w:val="bullet"/>
      <w:lvlText w:val="▪"/>
      <w:lvlJc w:val="left"/>
      <w:pPr>
        <w:ind w:left="6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5D17FF"/>
    <w:multiLevelType w:val="hybridMultilevel"/>
    <w:tmpl w:val="A858A77E"/>
    <w:lvl w:ilvl="0" w:tplc="1624E012">
      <w:start w:val="1"/>
      <w:numFmt w:val="bullet"/>
      <w:lvlText w:val="•"/>
      <w:lvlPicBulletId w:val="0"/>
      <w:lvlJc w:val="left"/>
      <w:pPr>
        <w:ind w:left="1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762CE12">
      <w:start w:val="1"/>
      <w:numFmt w:val="bullet"/>
      <w:lvlText w:val="o"/>
      <w:lvlJc w:val="left"/>
      <w:pPr>
        <w:ind w:left="2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088698">
      <w:start w:val="1"/>
      <w:numFmt w:val="bullet"/>
      <w:lvlText w:val="▪"/>
      <w:lvlJc w:val="left"/>
      <w:pPr>
        <w:ind w:left="3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3649412">
      <w:start w:val="1"/>
      <w:numFmt w:val="bullet"/>
      <w:lvlText w:val="•"/>
      <w:lvlJc w:val="left"/>
      <w:pPr>
        <w:ind w:left="3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8A4B9E">
      <w:start w:val="1"/>
      <w:numFmt w:val="bullet"/>
      <w:lvlText w:val="o"/>
      <w:lvlJc w:val="left"/>
      <w:pPr>
        <w:ind w:left="4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541C8E">
      <w:start w:val="1"/>
      <w:numFmt w:val="bullet"/>
      <w:lvlText w:val="▪"/>
      <w:lvlJc w:val="left"/>
      <w:pPr>
        <w:ind w:left="5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904DF0A">
      <w:start w:val="1"/>
      <w:numFmt w:val="bullet"/>
      <w:lvlText w:val="•"/>
      <w:lvlJc w:val="left"/>
      <w:pPr>
        <w:ind w:left="6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983684">
      <w:start w:val="1"/>
      <w:numFmt w:val="bullet"/>
      <w:lvlText w:val="o"/>
      <w:lvlJc w:val="left"/>
      <w:pPr>
        <w:ind w:left="6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6E5C18">
      <w:start w:val="1"/>
      <w:numFmt w:val="bullet"/>
      <w:lvlText w:val="▪"/>
      <w:lvlJc w:val="left"/>
      <w:pPr>
        <w:ind w:left="7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1F7307C"/>
    <w:multiLevelType w:val="hybridMultilevel"/>
    <w:tmpl w:val="A822C97C"/>
    <w:lvl w:ilvl="0" w:tplc="08090001">
      <w:start w:val="1"/>
      <w:numFmt w:val="bullet"/>
      <w:lvlText w:val=""/>
      <w:lvlJc w:val="left"/>
      <w:pPr>
        <w:ind w:left="144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A762CE12">
      <w:start w:val="1"/>
      <w:numFmt w:val="bullet"/>
      <w:lvlText w:val="o"/>
      <w:lvlJc w:val="left"/>
      <w:pPr>
        <w:ind w:left="2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088698">
      <w:start w:val="1"/>
      <w:numFmt w:val="bullet"/>
      <w:lvlText w:val="▪"/>
      <w:lvlJc w:val="left"/>
      <w:pPr>
        <w:ind w:left="3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3649412">
      <w:start w:val="1"/>
      <w:numFmt w:val="bullet"/>
      <w:lvlText w:val="•"/>
      <w:lvlJc w:val="left"/>
      <w:pPr>
        <w:ind w:left="3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8A4B9E">
      <w:start w:val="1"/>
      <w:numFmt w:val="bullet"/>
      <w:lvlText w:val="o"/>
      <w:lvlJc w:val="left"/>
      <w:pPr>
        <w:ind w:left="4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541C8E">
      <w:start w:val="1"/>
      <w:numFmt w:val="bullet"/>
      <w:lvlText w:val="▪"/>
      <w:lvlJc w:val="left"/>
      <w:pPr>
        <w:ind w:left="5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904DF0A">
      <w:start w:val="1"/>
      <w:numFmt w:val="bullet"/>
      <w:lvlText w:val="•"/>
      <w:lvlJc w:val="left"/>
      <w:pPr>
        <w:ind w:left="6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983684">
      <w:start w:val="1"/>
      <w:numFmt w:val="bullet"/>
      <w:lvlText w:val="o"/>
      <w:lvlJc w:val="left"/>
      <w:pPr>
        <w:ind w:left="6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6E5C18">
      <w:start w:val="1"/>
      <w:numFmt w:val="bullet"/>
      <w:lvlText w:val="▪"/>
      <w:lvlJc w:val="left"/>
      <w:pPr>
        <w:ind w:left="7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D5E741D"/>
    <w:multiLevelType w:val="hybridMultilevel"/>
    <w:tmpl w:val="786067B0"/>
    <w:lvl w:ilvl="0" w:tplc="22265300">
      <w:start w:val="1"/>
      <w:numFmt w:val="lowerLetter"/>
      <w:lvlText w:val="%1."/>
      <w:lvlJc w:val="left"/>
      <w:pPr>
        <w:ind w:left="1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FC282A">
      <w:start w:val="1"/>
      <w:numFmt w:val="lowerLetter"/>
      <w:lvlText w:val="%2"/>
      <w:lvlJc w:val="left"/>
      <w:pPr>
        <w:ind w:left="18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E285C02">
      <w:start w:val="1"/>
      <w:numFmt w:val="lowerRoman"/>
      <w:lvlText w:val="%3"/>
      <w:lvlJc w:val="left"/>
      <w:pPr>
        <w:ind w:left="25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86604AE">
      <w:start w:val="1"/>
      <w:numFmt w:val="decimal"/>
      <w:lvlText w:val="%4"/>
      <w:lvlJc w:val="left"/>
      <w:pPr>
        <w:ind w:left="33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7FA446E">
      <w:start w:val="1"/>
      <w:numFmt w:val="lowerLetter"/>
      <w:lvlText w:val="%5"/>
      <w:lvlJc w:val="left"/>
      <w:pPr>
        <w:ind w:left="40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B982CDC">
      <w:start w:val="1"/>
      <w:numFmt w:val="lowerRoman"/>
      <w:lvlText w:val="%6"/>
      <w:lvlJc w:val="left"/>
      <w:pPr>
        <w:ind w:left="47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DA4E836">
      <w:start w:val="1"/>
      <w:numFmt w:val="decimal"/>
      <w:lvlText w:val="%7"/>
      <w:lvlJc w:val="left"/>
      <w:pPr>
        <w:ind w:left="54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23808D0">
      <w:start w:val="1"/>
      <w:numFmt w:val="lowerLetter"/>
      <w:lvlText w:val="%8"/>
      <w:lvlJc w:val="left"/>
      <w:pPr>
        <w:ind w:left="61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AF0A424">
      <w:start w:val="1"/>
      <w:numFmt w:val="lowerRoman"/>
      <w:lvlText w:val="%9"/>
      <w:lvlJc w:val="left"/>
      <w:pPr>
        <w:ind w:left="69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E73149D"/>
    <w:multiLevelType w:val="hybridMultilevel"/>
    <w:tmpl w:val="FE26C188"/>
    <w:lvl w:ilvl="0" w:tplc="2F3EBF58">
      <w:start w:val="6"/>
      <w:numFmt w:val="lowerLetter"/>
      <w:lvlText w:val="%1."/>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86C0DCA">
      <w:start w:val="1"/>
      <w:numFmt w:val="bullet"/>
      <w:lvlText w:val="•"/>
      <w:lvlPicBulletId w:val="1"/>
      <w:lvlJc w:val="left"/>
      <w:pPr>
        <w:ind w:left="14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74AD6A">
      <w:start w:val="1"/>
      <w:numFmt w:val="bullet"/>
      <w:lvlText w:val="▪"/>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D6BDB8">
      <w:start w:val="1"/>
      <w:numFmt w:val="bullet"/>
      <w:lvlText w:val="•"/>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7A72D0">
      <w:start w:val="1"/>
      <w:numFmt w:val="bullet"/>
      <w:lvlText w:val="o"/>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C4BD7E">
      <w:start w:val="1"/>
      <w:numFmt w:val="bullet"/>
      <w:lvlText w:val="▪"/>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8E0C26">
      <w:start w:val="1"/>
      <w:numFmt w:val="bullet"/>
      <w:lvlText w:val="•"/>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4A1992">
      <w:start w:val="1"/>
      <w:numFmt w:val="bullet"/>
      <w:lvlText w:val="o"/>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B40A64">
      <w:start w:val="1"/>
      <w:numFmt w:val="bullet"/>
      <w:lvlText w:val="▪"/>
      <w:lvlJc w:val="left"/>
      <w:pPr>
        <w:ind w:left="6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A181C3F"/>
    <w:multiLevelType w:val="hybridMultilevel"/>
    <w:tmpl w:val="9B88186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03"/>
    <w:rsid w:val="00016D5B"/>
    <w:rsid w:val="00072064"/>
    <w:rsid w:val="001F08EA"/>
    <w:rsid w:val="005430EB"/>
    <w:rsid w:val="00682084"/>
    <w:rsid w:val="006D67B8"/>
    <w:rsid w:val="00885103"/>
    <w:rsid w:val="00A57C79"/>
    <w:rsid w:val="00AD6673"/>
    <w:rsid w:val="00AE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51F7DAAA-DA58-4516-87BA-114D031F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line="225" w:lineRule="auto"/>
      <w:ind w:left="10"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274"/>
      <w:ind w:left="5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TOC1">
    <w:name w:val="toc 1"/>
    <w:hidden/>
    <w:pPr>
      <w:spacing w:after="298" w:line="245" w:lineRule="auto"/>
      <w:ind w:left="21" w:right="26" w:hanging="6"/>
      <w:jc w:val="both"/>
    </w:pPr>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64"/>
    <w:rPr>
      <w:rFonts w:ascii="Calibri" w:eastAsia="Calibri" w:hAnsi="Calibri" w:cs="Calibri"/>
      <w:color w:val="000000"/>
      <w:sz w:val="26"/>
    </w:rPr>
  </w:style>
  <w:style w:type="paragraph" w:styleId="Footer">
    <w:name w:val="footer"/>
    <w:basedOn w:val="Normal"/>
    <w:link w:val="FooterChar"/>
    <w:uiPriority w:val="99"/>
    <w:unhideWhenUsed/>
    <w:rsid w:val="0007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64"/>
    <w:rPr>
      <w:rFonts w:ascii="Calibri" w:eastAsia="Calibri" w:hAnsi="Calibri" w:cs="Calibri"/>
      <w:color w:val="000000"/>
      <w:sz w:val="26"/>
    </w:rPr>
  </w:style>
  <w:style w:type="table" w:styleId="TableGrid0">
    <w:name w:val="Table Grid"/>
    <w:basedOn w:val="TableNormal"/>
    <w:uiPriority w:val="39"/>
    <w:rsid w:val="0007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AFF1-C8B9-48F8-9CEF-13B8D951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KM1815801294-20180111164920</vt:lpstr>
    </vt:vector>
  </TitlesOfParts>
  <Company>Lincoln College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KM1815801294-20180111164920</dc:title>
  <dc:subject/>
  <dc:creator>Adams, Sarah</dc:creator>
  <cp:keywords/>
  <cp:lastModifiedBy>Cataldo-Moore, Ruby</cp:lastModifiedBy>
  <cp:revision>2</cp:revision>
  <dcterms:created xsi:type="dcterms:W3CDTF">2020-02-25T09:58:00Z</dcterms:created>
  <dcterms:modified xsi:type="dcterms:W3CDTF">2020-02-25T09:58:00Z</dcterms:modified>
</cp:coreProperties>
</file>